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黑体" w:hAnsi="黑体" w:eastAsia="黑体" w:cs="黑体"/>
          <w:sz w:val="44"/>
          <w:szCs w:val="44"/>
          <w:lang w:val="en-US" w:eastAsia="zh-CN"/>
        </w:rPr>
      </w:pPr>
    </w:p>
    <w:p>
      <w:pPr>
        <w:spacing w:line="240" w:lineRule="auto"/>
        <w:jc w:val="both"/>
        <w:outlineLvl w:val="9"/>
        <w:rPr>
          <w:rFonts w:hint="eastAsia" w:ascii="汉仪蝶语体简" w:hAnsi="汉仪蝶语体简" w:eastAsia="汉仪蝶语体简" w:cs="汉仪蝶语体简"/>
          <w:b/>
          <w:bCs/>
          <w:sz w:val="144"/>
          <w:szCs w:val="144"/>
          <w:lang w:val="en-US" w:eastAsia="zh-CN"/>
        </w:rPr>
      </w:pPr>
    </w:p>
    <w:p>
      <w:pPr>
        <w:spacing w:line="240" w:lineRule="auto"/>
        <w:jc w:val="center"/>
        <w:outlineLvl w:val="0"/>
        <w:rPr>
          <w:rFonts w:hint="eastAsia" w:ascii="华文新魏" w:hAnsi="华文新魏" w:eastAsia="华文新魏" w:cs="华文新魏"/>
          <w:b w:val="0"/>
          <w:bCs w:val="0"/>
          <w:sz w:val="56"/>
          <w:szCs w:val="56"/>
          <w:lang w:val="en-US" w:eastAsia="zh-CN"/>
        </w:rPr>
      </w:pPr>
      <w:bookmarkStart w:id="0" w:name="_Toc22462"/>
      <w:r>
        <w:rPr>
          <w:rFonts w:hint="eastAsia" w:ascii="华文新魏" w:hAnsi="华文新魏" w:eastAsia="华文新魏" w:cs="华文新魏"/>
          <w:b w:val="0"/>
          <w:bCs w:val="0"/>
          <w:sz w:val="56"/>
          <w:szCs w:val="56"/>
          <w:lang w:val="en-US" w:eastAsia="zh-CN"/>
        </w:rPr>
        <w:t>福安职业技术学校</w:t>
      </w:r>
    </w:p>
    <w:p>
      <w:pPr>
        <w:spacing w:line="240" w:lineRule="auto"/>
        <w:jc w:val="center"/>
        <w:outlineLvl w:val="0"/>
        <w:rPr>
          <w:rFonts w:hint="eastAsia" w:ascii="华文新魏" w:hAnsi="华文新魏" w:eastAsia="华文新魏" w:cs="华文新魏"/>
          <w:sz w:val="56"/>
          <w:szCs w:val="56"/>
        </w:rPr>
      </w:pPr>
      <w:r>
        <w:rPr>
          <w:rFonts w:hint="eastAsia" w:ascii="华文新魏" w:hAnsi="华文新魏" w:eastAsia="华文新魏" w:cs="华文新魏"/>
          <w:b w:val="0"/>
          <w:bCs w:val="0"/>
          <w:sz w:val="56"/>
          <w:szCs w:val="56"/>
          <w:lang w:val="en-US" w:eastAsia="zh-CN"/>
        </w:rPr>
        <w:t>幼儿保育</w:t>
      </w:r>
      <w:bookmarkEnd w:id="0"/>
      <w:bookmarkStart w:id="1" w:name="_Toc28756"/>
      <w:r>
        <w:rPr>
          <w:rFonts w:hint="eastAsia" w:ascii="华文新魏" w:hAnsi="华文新魏" w:eastAsia="华文新魏" w:cs="华文新魏"/>
          <w:sz w:val="56"/>
          <w:szCs w:val="56"/>
        </w:rPr>
        <w:t>专业人才培养方案</w:t>
      </w:r>
      <w:bookmarkEnd w:id="1"/>
    </w:p>
    <w:p>
      <w:pPr>
        <w:spacing w:line="240" w:lineRule="auto"/>
        <w:jc w:val="both"/>
        <w:rPr>
          <w:rFonts w:hint="default"/>
          <w:b/>
          <w:bCs/>
          <w:sz w:val="112"/>
          <w:szCs w:val="112"/>
          <w:lang w:val="en-US" w:eastAsia="zh-CN"/>
        </w:rPr>
      </w:pPr>
    </w:p>
    <w:p>
      <w:pPr>
        <w:spacing w:line="240" w:lineRule="auto"/>
        <w:jc w:val="center"/>
        <w:rPr>
          <w:rFonts w:hint="default"/>
          <w:b/>
          <w:bCs/>
          <w:sz w:val="52"/>
          <w:szCs w:val="52"/>
          <w:lang w:val="en-US" w:eastAsia="zh-CN"/>
        </w:rPr>
      </w:pPr>
    </w:p>
    <w:p>
      <w:pPr>
        <w:spacing w:line="240" w:lineRule="auto"/>
        <w:jc w:val="both"/>
        <w:rPr>
          <w:rFonts w:hint="default"/>
          <w:b/>
          <w:bCs/>
          <w:sz w:val="52"/>
          <w:szCs w:val="5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center"/>
        <w:rPr>
          <w:rFonts w:hint="eastAsia" w:ascii="宋体" w:hAnsi="宋体" w:eastAsia="宋体" w:cs="宋体"/>
          <w:b/>
          <w:bCs/>
          <w:sz w:val="32"/>
          <w:szCs w:val="32"/>
          <w:lang w:val="en-US" w:eastAsia="zh-CN"/>
        </w:rPr>
      </w:pPr>
    </w:p>
    <w:p>
      <w:pPr>
        <w:spacing w:line="600" w:lineRule="exact"/>
        <w:jc w:val="both"/>
        <w:rPr>
          <w:rFonts w:hint="eastAsia" w:ascii="黑体" w:hAnsi="黑体" w:eastAsia="黑体" w:cs="黑体"/>
          <w:sz w:val="44"/>
          <w:szCs w:val="44"/>
          <w:lang w:val="en-US" w:eastAsia="zh-CN"/>
        </w:rPr>
      </w:pPr>
    </w:p>
    <w:p>
      <w:pPr>
        <w:spacing w:line="600" w:lineRule="exact"/>
        <w:jc w:val="center"/>
        <w:rPr>
          <w:rFonts w:hint="eastAsia" w:ascii="黑体" w:hAnsi="黑体" w:eastAsia="黑体" w:cs="黑体"/>
          <w:sz w:val="144"/>
          <w:szCs w:val="144"/>
          <w:lang w:val="en-US" w:eastAsia="zh-CN"/>
        </w:rPr>
      </w:pPr>
    </w:p>
    <w:sdt>
      <w:sdtPr>
        <w:rPr>
          <w:rFonts w:ascii="宋体" w:hAnsi="宋体" w:eastAsia="宋体" w:cs="Calibri"/>
          <w:kern w:val="2"/>
          <w:sz w:val="52"/>
          <w:szCs w:val="52"/>
          <w:lang w:val="en-US" w:eastAsia="zh-CN" w:bidi="ar-SA"/>
        </w:rPr>
        <w:id w:val="147471722"/>
        <w15:color w:val="DBDBDB"/>
        <w:docPartObj>
          <w:docPartGallery w:val="Table of Contents"/>
          <w:docPartUnique/>
        </w:docPartObj>
      </w:sdtPr>
      <w:sdtEndPr>
        <w:rPr>
          <w:rFonts w:ascii="宋体" w:hAnsi="宋体" w:eastAsia="宋体" w:cs="Calibri"/>
          <w:b/>
          <w:kern w:val="2"/>
          <w:sz w:val="52"/>
          <w:szCs w:val="52"/>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_Toc17244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_Toc17244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_Toc30777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（一）专业名称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_Toc30777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_Toc10673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（二）专业类别</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_Toc10673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_Toc9805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（三）专业代码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_Toc9805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_Toc14814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_Toc14814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_Toc28082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_Toc28082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_Toc9872 </w:instrText>
          </w:r>
          <w:r>
            <w:rPr>
              <w:rFonts w:hint="eastAsia" w:ascii="宋体" w:hAnsi="宋体" w:eastAsia="宋体" w:cs="宋体"/>
              <w:b/>
              <w:sz w:val="24"/>
              <w:szCs w:val="24"/>
            </w:rPr>
            <w:fldChar w:fldCharType="separate"/>
          </w:r>
          <w:r>
            <w:rPr>
              <w:rFonts w:hint="eastAsia" w:ascii="宋体" w:hAnsi="宋体" w:eastAsia="宋体" w:cs="宋体"/>
              <w:b/>
              <w:bCs/>
              <w:sz w:val="24"/>
              <w:szCs w:val="24"/>
              <w:lang w:val="en-US" w:eastAsia="zh-CN"/>
            </w:rPr>
            <w:t xml:space="preserve">四、 </w:t>
          </w:r>
          <w:r>
            <w:rPr>
              <w:rFonts w:hint="eastAsia" w:ascii="宋体" w:hAnsi="宋体" w:eastAsia="宋体" w:cs="宋体"/>
              <w:b/>
              <w:bCs/>
              <w:sz w:val="24"/>
              <w:szCs w:val="24"/>
            </w:rPr>
            <w:t>职业面向</w:t>
          </w:r>
          <w:r>
            <w:rPr>
              <w:rFonts w:hint="eastAsia" w:ascii="宋体" w:hAnsi="宋体" w:eastAsia="宋体" w:cs="宋体"/>
              <w:b/>
              <w:bCs/>
              <w:sz w:val="24"/>
              <w:szCs w:val="24"/>
              <w:lang w:val="en-US" w:eastAsia="zh-CN"/>
            </w:rPr>
            <w:t>与接续专业</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_Toc9872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_Toc17305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t>五、培养目标</w:t>
          </w:r>
          <w:r>
            <w:rPr>
              <w:rFonts w:hint="eastAsia" w:ascii="宋体" w:hAnsi="宋体" w:eastAsia="宋体" w:cs="宋体"/>
              <w:b/>
              <w:bCs/>
              <w:sz w:val="24"/>
              <w:szCs w:val="24"/>
              <w:lang w:val="en-US" w:eastAsia="zh-CN"/>
            </w:rPr>
            <w:t>与</w:t>
          </w:r>
          <w:r>
            <w:rPr>
              <w:rFonts w:hint="eastAsia" w:ascii="宋体" w:hAnsi="宋体" w:eastAsia="宋体" w:cs="宋体"/>
              <w:b/>
              <w:bCs/>
              <w:sz w:val="24"/>
              <w:szCs w:val="24"/>
            </w:rPr>
            <w:t>培养规格</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_Toc17305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_Toc25720 </w:instrText>
          </w:r>
          <w:r>
            <w:rPr>
              <w:rFonts w:hint="eastAsia" w:ascii="宋体" w:hAnsi="宋体" w:eastAsia="宋体" w:cs="宋体"/>
              <w:b/>
              <w:sz w:val="24"/>
              <w:szCs w:val="24"/>
            </w:rPr>
            <w:fldChar w:fldCharType="separate"/>
          </w:r>
          <w:r>
            <w:rPr>
              <w:rFonts w:hint="eastAsia" w:ascii="宋体" w:hAnsi="宋体" w:eastAsia="宋体" w:cs="宋体"/>
              <w:b/>
              <w:bCs/>
              <w:sz w:val="24"/>
              <w:szCs w:val="24"/>
              <w:lang w:val="en-US" w:eastAsia="zh-CN"/>
            </w:rPr>
            <w:t>六、工作任务与职业能力分析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_Toc25720 </w:instrText>
          </w:r>
          <w:r>
            <w:rPr>
              <w:rFonts w:hint="eastAsia" w:ascii="宋体" w:hAnsi="宋体" w:eastAsia="宋体" w:cs="宋体"/>
              <w:b/>
              <w:sz w:val="24"/>
              <w:szCs w:val="24"/>
            </w:rPr>
            <w:fldChar w:fldCharType="separate"/>
          </w:r>
          <w:r>
            <w:rPr>
              <w:rFonts w:hint="eastAsia" w:ascii="宋体" w:hAnsi="宋体" w:eastAsia="宋体" w:cs="宋体"/>
              <w:b/>
              <w:sz w:val="24"/>
              <w:szCs w:val="24"/>
            </w:rPr>
            <w:t>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_Toc11167 </w:instrText>
          </w:r>
          <w:r>
            <w:rPr>
              <w:rFonts w:hint="eastAsia" w:ascii="宋体" w:hAnsi="宋体" w:eastAsia="宋体" w:cs="宋体"/>
              <w:b/>
              <w:sz w:val="24"/>
              <w:szCs w:val="24"/>
            </w:rPr>
            <w:fldChar w:fldCharType="separate"/>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、课程设置及要求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_Toc11167 </w:instrText>
          </w:r>
          <w:r>
            <w:rPr>
              <w:rFonts w:hint="eastAsia" w:ascii="宋体" w:hAnsi="宋体" w:eastAsia="宋体" w:cs="宋体"/>
              <w:b/>
              <w:sz w:val="24"/>
              <w:szCs w:val="24"/>
            </w:rPr>
            <w:fldChar w:fldCharType="separate"/>
          </w:r>
          <w:r>
            <w:rPr>
              <w:rFonts w:hint="eastAsia" w:ascii="宋体" w:hAnsi="宋体" w:eastAsia="宋体" w:cs="宋体"/>
              <w:b/>
              <w:sz w:val="24"/>
              <w:szCs w:val="24"/>
            </w:rPr>
            <w:t>12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_Toc23913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w:t>
          </w:r>
          <w:r>
            <w:rPr>
              <w:rFonts w:hint="eastAsia" w:ascii="宋体" w:hAnsi="宋体" w:eastAsia="宋体" w:cs="宋体"/>
              <w:bCs/>
              <w:sz w:val="24"/>
              <w:szCs w:val="24"/>
              <w:lang w:val="en-US" w:eastAsia="zh-CN"/>
            </w:rPr>
            <w:t>课程结构图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_Toc23913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w:t>
          </w:r>
          <w:r>
            <w:rPr>
              <w:rFonts w:hint="eastAsia" w:ascii="宋体" w:hAnsi="宋体" w:eastAsia="宋体" w:cs="宋体"/>
              <w:bCs/>
              <w:sz w:val="24"/>
              <w:szCs w:val="24"/>
            </w:rPr>
            <w:t>公共基础课程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_Toc22122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_Toc10424 </w:instrText>
          </w:r>
          <w:r>
            <w:rPr>
              <w:rFonts w:hint="eastAsia" w:ascii="宋体" w:hAnsi="宋体" w:eastAsia="宋体" w:cs="宋体"/>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）专业技能课程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_Toc10424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 </w:instrText>
          </w:r>
          <w:r>
            <w:rPr>
              <w:rFonts w:hint="eastAsia" w:ascii="宋体" w:hAnsi="宋体" w:eastAsia="宋体" w:cs="宋体"/>
              <w:sz w:val="24"/>
              <w:szCs w:val="24"/>
            </w:rPr>
            <w:fldChar w:fldCharType="separate"/>
          </w:r>
          <w:r>
            <w:rPr>
              <w:rFonts w:hint="eastAsia" w:ascii="宋体" w:hAnsi="宋体" w:eastAsia="宋体" w:cs="宋体"/>
              <w:bCs/>
              <w:sz w:val="24"/>
              <w:szCs w:val="24"/>
            </w:rPr>
            <w:t>（</w:t>
          </w:r>
          <w:r>
            <w:rPr>
              <w:rFonts w:hint="eastAsia" w:ascii="宋体" w:hAnsi="宋体" w:eastAsia="宋体" w:cs="宋体"/>
              <w:bCs/>
              <w:sz w:val="24"/>
              <w:szCs w:val="24"/>
              <w:lang w:val="en-US" w:eastAsia="zh-CN"/>
            </w:rPr>
            <w:t>四</w:t>
          </w:r>
          <w:r>
            <w:rPr>
              <w:rFonts w:hint="eastAsia" w:ascii="宋体" w:hAnsi="宋体" w:eastAsia="宋体" w:cs="宋体"/>
              <w:bCs/>
              <w:sz w:val="24"/>
              <w:szCs w:val="24"/>
            </w:rPr>
            <w:t>）实践教学环节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_Toc14550 </w:instrText>
          </w:r>
          <w:r>
            <w:rPr>
              <w:rFonts w:hint="eastAsia" w:ascii="宋体" w:hAnsi="宋体" w:eastAsia="宋体" w:cs="宋体"/>
              <w:b/>
              <w:sz w:val="24"/>
              <w:szCs w:val="24"/>
            </w:rPr>
            <w:fldChar w:fldCharType="separate"/>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教学进程总体安排</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_Toc14550 </w:instrText>
          </w:r>
          <w:r>
            <w:rPr>
              <w:rFonts w:hint="eastAsia" w:ascii="宋体" w:hAnsi="宋体" w:eastAsia="宋体" w:cs="宋体"/>
              <w:b/>
              <w:sz w:val="24"/>
              <w:szCs w:val="24"/>
            </w:rPr>
            <w:fldChar w:fldCharType="separate"/>
          </w:r>
          <w:r>
            <w:rPr>
              <w:rFonts w:hint="eastAsia" w:ascii="宋体" w:hAnsi="宋体" w:eastAsia="宋体" w:cs="宋体"/>
              <w:b/>
              <w:sz w:val="24"/>
              <w:szCs w:val="24"/>
            </w:rPr>
            <w:t>18</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_Toc3292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t>九、 实施保障</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_Toc3292 </w:instrText>
          </w:r>
          <w:r>
            <w:rPr>
              <w:rFonts w:hint="eastAsia" w:ascii="宋体" w:hAnsi="宋体" w:eastAsia="宋体" w:cs="宋体"/>
              <w:b/>
              <w:sz w:val="24"/>
              <w:szCs w:val="24"/>
            </w:rPr>
            <w:fldChar w:fldCharType="separate"/>
          </w:r>
          <w:r>
            <w:rPr>
              <w:rFonts w:hint="eastAsia" w:ascii="宋体" w:hAnsi="宋体" w:eastAsia="宋体" w:cs="宋体"/>
              <w:b/>
              <w:sz w:val="24"/>
              <w:szCs w:val="24"/>
            </w:rPr>
            <w:t>20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_Toc9590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_Toc15190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_Toc15190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_Toc16799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w:t>
          </w:r>
          <w:r>
            <w:rPr>
              <w:rFonts w:hint="eastAsia" w:ascii="宋体" w:hAnsi="宋体" w:eastAsia="宋体" w:cs="宋体"/>
              <w:bCs/>
              <w:sz w:val="24"/>
              <w:szCs w:val="24"/>
            </w:rPr>
            <w:t>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_Toc16799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_Toc25144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四</w:t>
          </w:r>
          <w:r>
            <w:rPr>
              <w:rFonts w:hint="eastAsia" w:ascii="宋体" w:hAnsi="宋体" w:eastAsia="宋体" w:cs="宋体"/>
              <w:bCs/>
              <w:sz w:val="24"/>
              <w:szCs w:val="24"/>
              <w:lang w:eastAsia="zh-CN"/>
            </w:rPr>
            <w:t>）</w:t>
          </w:r>
          <w:r>
            <w:rPr>
              <w:rFonts w:hint="eastAsia" w:ascii="宋体" w:hAnsi="宋体" w:eastAsia="宋体" w:cs="宋体"/>
              <w:bCs/>
              <w:sz w:val="24"/>
              <w:szCs w:val="24"/>
            </w:rPr>
            <w:t>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_Toc25144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_Toc1150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五</w:t>
          </w:r>
          <w:r>
            <w:rPr>
              <w:rFonts w:hint="eastAsia" w:ascii="宋体" w:hAnsi="宋体" w:eastAsia="宋体" w:cs="宋体"/>
              <w:bCs/>
              <w:sz w:val="24"/>
              <w:szCs w:val="24"/>
              <w:lang w:eastAsia="zh-CN"/>
            </w:rPr>
            <w:t>）</w:t>
          </w:r>
          <w:r>
            <w:rPr>
              <w:rFonts w:hint="eastAsia" w:ascii="宋体" w:hAnsi="宋体" w:eastAsia="宋体" w:cs="宋体"/>
              <w:bCs/>
              <w:sz w:val="24"/>
              <w:szCs w:val="24"/>
            </w:rPr>
            <w:t>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_Toc1150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_Toc30248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_Toc30248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5"/>
            <w:tabs>
              <w:tab w:val="right" w:leader="dot" w:pos="8465"/>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_Toc10664 </w:instrText>
          </w:r>
          <w:r>
            <w:rPr>
              <w:rFonts w:hint="eastAsia" w:ascii="宋体" w:hAnsi="宋体" w:eastAsia="宋体" w:cs="宋体"/>
              <w:b/>
              <w:sz w:val="24"/>
              <w:szCs w:val="24"/>
            </w:rPr>
            <w:fldChar w:fldCharType="separate"/>
          </w: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、毕业要求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_Toc10664 </w:instrText>
          </w:r>
          <w:r>
            <w:rPr>
              <w:rFonts w:hint="eastAsia" w:ascii="宋体" w:hAnsi="宋体" w:eastAsia="宋体" w:cs="宋体"/>
              <w:b/>
              <w:sz w:val="24"/>
              <w:szCs w:val="24"/>
            </w:rPr>
            <w:fldChar w:fldCharType="separate"/>
          </w:r>
          <w:r>
            <w:rPr>
              <w:rFonts w:hint="eastAsia" w:ascii="宋体" w:hAnsi="宋体" w:eastAsia="宋体" w:cs="宋体"/>
              <w:b/>
              <w:sz w:val="24"/>
              <w:szCs w:val="24"/>
            </w:rPr>
            <w:t>25</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（一）成绩要求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_Toc32737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6"/>
            <w:tabs>
              <w:tab w:val="right" w:leader="dot" w:pos="846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_Toc19578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（二）证书条件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_Toc19578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pacing w:line="360" w:lineRule="auto"/>
            <w:rPr>
              <w:rFonts w:hint="eastAsia" w:ascii="黑体" w:hAnsi="黑体" w:eastAsia="黑体" w:cs="黑体"/>
              <w:sz w:val="44"/>
              <w:szCs w:val="44"/>
              <w:lang w:val="en-US" w:eastAsia="zh-CN"/>
            </w:rPr>
            <w:sectPr>
              <w:footerReference r:id="rId3" w:type="default"/>
              <w:pgSz w:w="11906" w:h="16838"/>
              <w:pgMar w:top="1440" w:right="1797" w:bottom="1440" w:left="164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6"/>
          <w:szCs w:val="36"/>
        </w:rPr>
      </w:pPr>
      <w:bookmarkStart w:id="2" w:name="_Toc19190"/>
      <w:r>
        <w:rPr>
          <w:rFonts w:hint="eastAsia" w:ascii="方正小标宋简体" w:hAnsi="方正小标宋简体" w:eastAsia="方正小标宋简体" w:cs="方正小标宋简体"/>
          <w:b/>
          <w:bCs/>
          <w:sz w:val="36"/>
          <w:szCs w:val="36"/>
          <w:lang w:val="en-US" w:eastAsia="zh-CN"/>
        </w:rPr>
        <w:t>福安</w:t>
      </w:r>
      <w:r>
        <w:rPr>
          <w:rFonts w:hint="eastAsia" w:ascii="方正小标宋简体" w:hAnsi="方正小标宋简体" w:eastAsia="方正小标宋简体" w:cs="方正小标宋简体"/>
          <w:sz w:val="36"/>
          <w:szCs w:val="36"/>
          <w:lang w:val="en-US" w:eastAsia="zh-CN"/>
        </w:rPr>
        <w:t>职</w:t>
      </w:r>
      <w:r>
        <w:rPr>
          <w:rFonts w:hint="eastAsia" w:ascii="方正小标宋简体" w:hAnsi="方正小标宋简体" w:eastAsia="方正小标宋简体" w:cs="方正小标宋简体"/>
          <w:sz w:val="36"/>
          <w:szCs w:val="36"/>
        </w:rPr>
        <w:t>业技术学校</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6"/>
          <w:szCs w:val="36"/>
        </w:rPr>
      </w:pPr>
      <w:bookmarkStart w:id="3" w:name="_Toc27078"/>
      <w:r>
        <w:rPr>
          <w:rFonts w:hint="eastAsia" w:ascii="方正小标宋简体" w:hAnsi="方正小标宋简体" w:eastAsia="方正小标宋简体" w:cs="方正小标宋简体"/>
          <w:sz w:val="36"/>
          <w:szCs w:val="36"/>
        </w:rPr>
        <w:t>幼儿保育专业人才培养方案</w:t>
      </w:r>
      <w:bookmarkEnd w:id="3"/>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sz w:val="24"/>
          <w:szCs w:val="24"/>
        </w:rPr>
      </w:pPr>
    </w:p>
    <w:p>
      <w:pPr>
        <w:spacing w:line="240" w:lineRule="auto"/>
        <w:ind w:firstLine="640" w:firstLineChars="200"/>
        <w:outlineLvl w:val="0"/>
        <w:rPr>
          <w:rFonts w:hint="eastAsia" w:ascii="黑体" w:hAnsi="黑体" w:eastAsia="黑体" w:cs="黑体"/>
          <w:b w:val="0"/>
          <w:bCs w:val="0"/>
          <w:sz w:val="32"/>
          <w:szCs w:val="32"/>
        </w:rPr>
      </w:pPr>
      <w:bookmarkStart w:id="4" w:name="_Toc17244"/>
      <w:r>
        <w:rPr>
          <w:rFonts w:hint="eastAsia" w:ascii="黑体" w:hAnsi="黑体" w:eastAsia="黑体" w:cs="黑体"/>
          <w:b w:val="0"/>
          <w:bCs w:val="0"/>
          <w:sz w:val="32"/>
          <w:szCs w:val="32"/>
        </w:rPr>
        <w:t>一、专业名称及代码</w:t>
      </w:r>
      <w:bookmarkEnd w:id="4"/>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5" w:name="_Toc30777"/>
      <w:r>
        <w:rPr>
          <w:rFonts w:hint="eastAsia" w:ascii="楷体_GB2312" w:hAnsi="楷体_GB2312" w:eastAsia="楷体_GB2312" w:cs="楷体_GB2312"/>
          <w:b/>
          <w:bCs/>
          <w:sz w:val="28"/>
          <w:szCs w:val="28"/>
        </w:rPr>
        <w:t>（一）专业名称</w:t>
      </w:r>
      <w:bookmarkEnd w:id="5"/>
    </w:p>
    <w:p>
      <w:pPr>
        <w:keepNext w:val="0"/>
        <w:keepLines w:val="0"/>
        <w:pageBreakBefore w:val="0"/>
        <w:widowControl w:val="0"/>
        <w:kinsoku/>
        <w:wordWrap/>
        <w:overflowPunct/>
        <w:topLinePunct w:val="0"/>
        <w:autoSpaceDE/>
        <w:autoSpaceDN/>
        <w:bidi w:val="0"/>
        <w:adjustRightInd/>
        <w:snapToGrid w:val="0"/>
        <w:spacing w:line="240" w:lineRule="auto"/>
        <w:ind w:firstLine="1440" w:firstLineChars="600"/>
        <w:textAlignment w:val="auto"/>
        <w:outlineLvl w:val="1"/>
        <w:rPr>
          <w:rFonts w:hint="eastAsia" w:ascii="宋体" w:hAnsi="宋体" w:eastAsia="宋体" w:cs="宋体"/>
          <w:sz w:val="24"/>
          <w:szCs w:val="24"/>
        </w:rPr>
      </w:pPr>
      <w:r>
        <w:rPr>
          <w:rFonts w:hint="eastAsia" w:ascii="宋体" w:hAnsi="宋体" w:eastAsia="宋体" w:cs="宋体"/>
          <w:sz w:val="24"/>
          <w:szCs w:val="24"/>
        </w:rPr>
        <w:t>幼儿保育</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6" w:name="_Toc10673"/>
      <w:r>
        <w:rPr>
          <w:rFonts w:hint="eastAsia" w:ascii="楷体_GB2312" w:hAnsi="楷体_GB2312" w:eastAsia="楷体_GB2312" w:cs="楷体_GB2312"/>
          <w:b/>
          <w:bCs/>
          <w:sz w:val="28"/>
          <w:szCs w:val="28"/>
        </w:rPr>
        <w:t>（二）专业类别</w:t>
      </w:r>
      <w:bookmarkEnd w:id="6"/>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教育类</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7" w:name="_Toc9805"/>
      <w:r>
        <w:rPr>
          <w:rFonts w:hint="eastAsia" w:ascii="楷体_GB2312" w:hAnsi="楷体_GB2312" w:eastAsia="楷体_GB2312" w:cs="楷体_GB2312"/>
          <w:b/>
          <w:bCs/>
          <w:sz w:val="28"/>
          <w:szCs w:val="28"/>
        </w:rPr>
        <w:t>（三）专业代码</w:t>
      </w:r>
      <w:bookmarkEnd w:id="7"/>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770101</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b w:val="0"/>
          <w:bCs w:val="0"/>
          <w:sz w:val="32"/>
          <w:szCs w:val="32"/>
        </w:rPr>
      </w:pPr>
      <w:bookmarkStart w:id="8" w:name="_Toc14814"/>
      <w:r>
        <w:rPr>
          <w:rFonts w:hint="eastAsia" w:ascii="黑体" w:hAnsi="黑体" w:eastAsia="黑体" w:cs="黑体"/>
          <w:b w:val="0"/>
          <w:bCs w:val="0"/>
          <w:sz w:val="32"/>
          <w:szCs w:val="32"/>
        </w:rPr>
        <w:t>二、入学要求</w:t>
      </w:r>
      <w:bookmarkEnd w:id="8"/>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初中毕业生或具有同等学力者</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b w:val="0"/>
          <w:bCs w:val="0"/>
          <w:sz w:val="32"/>
          <w:szCs w:val="32"/>
        </w:rPr>
      </w:pPr>
      <w:bookmarkStart w:id="9" w:name="_Toc28082"/>
      <w:r>
        <w:rPr>
          <w:rFonts w:hint="eastAsia" w:ascii="黑体" w:hAnsi="黑体" w:eastAsia="黑体" w:cs="黑体"/>
          <w:b w:val="0"/>
          <w:bCs w:val="0"/>
          <w:sz w:val="32"/>
          <w:szCs w:val="32"/>
        </w:rPr>
        <w:t>三、修业年限</w:t>
      </w:r>
      <w:bookmarkEnd w:id="9"/>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全日制三年</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b w:val="0"/>
          <w:bCs w:val="0"/>
          <w:sz w:val="32"/>
          <w:szCs w:val="32"/>
          <w:lang w:val="en-US" w:eastAsia="zh-CN"/>
        </w:rPr>
      </w:pPr>
      <w:bookmarkStart w:id="10" w:name="_Toc9872"/>
      <w:r>
        <w:rPr>
          <w:rFonts w:hint="eastAsia" w:ascii="黑体" w:hAnsi="黑体" w:eastAsia="黑体" w:cs="黑体"/>
          <w:b w:val="0"/>
          <w:bCs w:val="0"/>
          <w:sz w:val="32"/>
          <w:szCs w:val="32"/>
        </w:rPr>
        <w:t>职业面向</w:t>
      </w:r>
      <w:r>
        <w:rPr>
          <w:rFonts w:hint="eastAsia" w:ascii="黑体" w:hAnsi="黑体" w:eastAsia="黑体" w:cs="黑体"/>
          <w:b w:val="0"/>
          <w:bCs w:val="0"/>
          <w:sz w:val="32"/>
          <w:szCs w:val="32"/>
          <w:lang w:val="en-US" w:eastAsia="zh-CN"/>
        </w:rPr>
        <w:t>与接续专业</w:t>
      </w:r>
      <w:bookmarkEnd w:id="10"/>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lang w:val="en-US" w:eastAsia="zh-CN"/>
        </w:rPr>
      </w:pPr>
      <w:bookmarkStart w:id="11" w:name="_Toc24341"/>
      <w:r>
        <w:rPr>
          <w:rFonts w:hint="eastAsia" w:ascii="楷体_GB2312" w:hAnsi="楷体_GB2312" w:eastAsia="楷体_GB2312" w:cs="楷体_GB2312"/>
          <w:b/>
          <w:bCs/>
          <w:sz w:val="28"/>
          <w:szCs w:val="28"/>
          <w:lang w:val="en-US" w:eastAsia="zh-CN"/>
        </w:rPr>
        <w:t>（一）职业面向</w:t>
      </w:r>
      <w:bookmarkEnd w:id="11"/>
    </w:p>
    <w:tbl>
      <w:tblPr>
        <w:tblStyle w:val="26"/>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574"/>
        <w:gridCol w:w="1572"/>
        <w:gridCol w:w="1868"/>
        <w:gridCol w:w="230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7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所属专业大类（代码）</w:t>
            </w:r>
          </w:p>
        </w:tc>
        <w:tc>
          <w:tcPr>
            <w:tcW w:w="1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所属专业类（代码）</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对应行业 （代码）</w:t>
            </w:r>
          </w:p>
        </w:tc>
        <w:tc>
          <w:tcPr>
            <w:tcW w:w="18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主要职业类别 （代码）</w:t>
            </w:r>
          </w:p>
        </w:tc>
        <w:tc>
          <w:tcPr>
            <w:tcW w:w="23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主要岗位类别 （或技术领域）</w:t>
            </w:r>
          </w:p>
        </w:tc>
        <w:tc>
          <w:tcPr>
            <w:tcW w:w="1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7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教育与体育大类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77</w:t>
            </w:r>
            <w:r>
              <w:rPr>
                <w:rFonts w:hint="eastAsia" w:ascii="宋体" w:hAnsi="宋体" w:eastAsia="宋体" w:cs="宋体"/>
                <w:color w:val="000000"/>
                <w:sz w:val="24"/>
                <w:szCs w:val="24"/>
                <w:lang w:eastAsia="zh-CN"/>
              </w:rPr>
              <w:t>）</w:t>
            </w:r>
          </w:p>
        </w:tc>
        <w:tc>
          <w:tcPr>
            <w:tcW w:w="1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教育类（7701）</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居民服务业（80）</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教育业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（83）</w:t>
            </w:r>
          </w:p>
        </w:tc>
        <w:tc>
          <w:tcPr>
            <w:tcW w:w="18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育婴员（4-10-01-02）保育员（4-10-01-03）</w:t>
            </w:r>
          </w:p>
        </w:tc>
        <w:tc>
          <w:tcPr>
            <w:tcW w:w="23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各级各类早教机构、家庭育婴岗位</w:t>
            </w:r>
            <w:r>
              <w:rPr>
                <w:rFonts w:hint="eastAsia" w:ascii="宋体" w:hAnsi="宋体" w:eastAsia="宋体" w:cs="宋体"/>
                <w:color w:val="000000"/>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各级各类幼儿园、儿童福利机构幼儿保育、辅教岗位</w:t>
            </w:r>
          </w:p>
        </w:tc>
        <w:tc>
          <w:tcPr>
            <w:tcW w:w="1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幼儿照护</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保育员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育婴员</w:t>
            </w:r>
          </w:p>
        </w:tc>
      </w:tr>
    </w:tbl>
    <w:p>
      <w:pPr>
        <w:numPr>
          <w:ilvl w:val="0"/>
          <w:numId w:val="0"/>
        </w:numPr>
        <w:spacing w:line="240" w:lineRule="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60" w:firstLineChars="200"/>
        <w:textAlignment w:val="auto"/>
        <w:outlineLvl w:val="1"/>
        <w:rPr>
          <w:rFonts w:hint="eastAsia" w:ascii="楷体_GB2312" w:hAnsi="楷体_GB2312" w:eastAsia="楷体_GB2312" w:cs="楷体_GB2312"/>
          <w:b/>
          <w:bCs/>
          <w:sz w:val="28"/>
          <w:szCs w:val="28"/>
          <w:lang w:val="en-US" w:eastAsia="zh-CN"/>
        </w:rPr>
      </w:pPr>
      <w:bookmarkStart w:id="12" w:name="_Toc11155"/>
      <w:r>
        <w:rPr>
          <w:rFonts w:hint="eastAsia" w:ascii="楷体_GB2312" w:hAnsi="楷体_GB2312" w:eastAsia="楷体_GB2312" w:cs="楷体_GB2312"/>
          <w:b/>
          <w:bCs/>
          <w:sz w:val="28"/>
          <w:szCs w:val="28"/>
          <w:lang w:val="en-US" w:eastAsia="zh-CN"/>
        </w:rPr>
        <w:t>（二）接续专业</w:t>
      </w:r>
      <w:bookmarkEnd w:id="12"/>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80" w:firstLineChars="200"/>
        <w:textAlignment w:val="auto"/>
        <w:outlineLvl w:val="1"/>
        <w:rPr>
          <w:rFonts w:hint="eastAsia" w:ascii="宋体" w:hAnsi="宋体" w:eastAsia="宋体" w:cs="宋体"/>
          <w:b w:val="0"/>
          <w:bCs w:val="0"/>
          <w:sz w:val="24"/>
          <w:szCs w:val="24"/>
          <w:lang w:val="en-US" w:eastAsia="zh-CN"/>
        </w:rPr>
      </w:pPr>
      <w:bookmarkStart w:id="13" w:name="_Toc17827"/>
      <w:r>
        <w:rPr>
          <w:rFonts w:hint="eastAsia" w:ascii="宋体" w:hAnsi="宋体" w:eastAsia="宋体" w:cs="宋体"/>
          <w:b w:val="0"/>
          <w:bCs w:val="0"/>
          <w:sz w:val="24"/>
          <w:szCs w:val="24"/>
          <w:lang w:val="en-US" w:eastAsia="zh-CN"/>
        </w:rPr>
        <w:t>高职：学前教育专业、音乐教育专业、美术教育专业；</w:t>
      </w:r>
      <w:bookmarkEnd w:id="13"/>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80" w:firstLineChars="200"/>
        <w:textAlignment w:val="auto"/>
        <w:outlineLvl w:val="1"/>
        <w:rPr>
          <w:rFonts w:hint="eastAsia" w:ascii="宋体" w:hAnsi="宋体" w:eastAsia="宋体" w:cs="宋体"/>
          <w:b/>
          <w:bCs/>
          <w:sz w:val="24"/>
          <w:szCs w:val="24"/>
        </w:rPr>
      </w:pPr>
      <w:bookmarkStart w:id="14" w:name="_Toc5061"/>
      <w:r>
        <w:rPr>
          <w:rFonts w:hint="eastAsia" w:ascii="宋体" w:hAnsi="宋体" w:eastAsia="宋体" w:cs="宋体"/>
          <w:b w:val="0"/>
          <w:bCs w:val="0"/>
          <w:sz w:val="24"/>
          <w:szCs w:val="24"/>
          <w:lang w:val="en-US" w:eastAsia="zh-CN"/>
        </w:rPr>
        <w:t>本科：初等教育专业、音乐教育专业、美术教育专业。</w:t>
      </w:r>
      <w:bookmarkEnd w:id="14"/>
      <w:r>
        <w:rPr>
          <w:rFonts w:hint="eastAsia" w:ascii="宋体" w:hAnsi="宋体" w:eastAsia="宋体" w:cs="宋体"/>
          <w:b w:val="0"/>
          <w:bCs w:val="0"/>
          <w:sz w:val="24"/>
          <w:szCs w:val="24"/>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textAlignment w:val="auto"/>
        <w:outlineLvl w:val="0"/>
        <w:rPr>
          <w:rFonts w:hint="eastAsia" w:ascii="黑体" w:hAnsi="黑体" w:eastAsia="黑体" w:cs="黑体"/>
          <w:b w:val="0"/>
          <w:bCs w:val="0"/>
          <w:sz w:val="32"/>
          <w:szCs w:val="32"/>
        </w:rPr>
      </w:pPr>
      <w:bookmarkStart w:id="15" w:name="_Toc17305"/>
      <w:r>
        <w:rPr>
          <w:rFonts w:hint="eastAsia" w:ascii="黑体" w:hAnsi="黑体" w:eastAsia="黑体" w:cs="黑体"/>
          <w:b w:val="0"/>
          <w:bCs w:val="0"/>
          <w:sz w:val="32"/>
          <w:szCs w:val="32"/>
        </w:rPr>
        <w:t>五、培养目标</w:t>
      </w:r>
      <w:r>
        <w:rPr>
          <w:rFonts w:hint="eastAsia" w:ascii="黑体" w:hAnsi="黑体" w:eastAsia="黑体" w:cs="黑体"/>
          <w:b w:val="0"/>
          <w:bCs w:val="0"/>
          <w:sz w:val="32"/>
          <w:szCs w:val="32"/>
          <w:lang w:val="en-US" w:eastAsia="zh-CN"/>
        </w:rPr>
        <w:t>与</w:t>
      </w:r>
      <w:r>
        <w:rPr>
          <w:rFonts w:hint="eastAsia" w:ascii="黑体" w:hAnsi="黑体" w:eastAsia="黑体" w:cs="黑体"/>
          <w:b w:val="0"/>
          <w:bCs w:val="0"/>
          <w:sz w:val="32"/>
          <w:szCs w:val="32"/>
        </w:rPr>
        <w:t>培养规格</w:t>
      </w:r>
      <w:bookmarkEnd w:id="15"/>
      <w:bookmarkStart w:id="16" w:name="_Toc22497"/>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1"/>
        <w:rPr>
          <w:rFonts w:hint="eastAsia" w:ascii="宋体" w:hAnsi="宋体" w:eastAsia="宋体" w:cs="宋体"/>
          <w:sz w:val="24"/>
          <w:szCs w:val="24"/>
        </w:rPr>
      </w:pP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val="en-US" w:eastAsia="zh-CN"/>
        </w:rPr>
        <w:t>培养目标</w:t>
      </w:r>
      <w:bookmarkEnd w:id="16"/>
      <w:r>
        <w:rPr>
          <w:rFonts w:hint="eastAsia" w:ascii="楷体_GB2312" w:hAnsi="楷体_GB2312" w:eastAsia="楷体_GB2312" w:cs="楷体_GB2312"/>
          <w:b/>
          <w:bCs/>
          <w:sz w:val="28"/>
          <w:szCs w:val="28"/>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面向城乡各级各类幼儿园、早教机构，培养德智体美</w:t>
      </w:r>
      <w:r>
        <w:rPr>
          <w:rFonts w:hint="eastAsia" w:ascii="宋体" w:hAnsi="宋体" w:eastAsia="宋体" w:cs="宋体"/>
          <w:sz w:val="24"/>
          <w:szCs w:val="24"/>
          <w:lang w:val="en-US" w:eastAsia="zh-CN"/>
        </w:rPr>
        <w:t>劳</w:t>
      </w:r>
      <w:r>
        <w:rPr>
          <w:rFonts w:hint="eastAsia" w:ascii="宋体" w:hAnsi="宋体" w:eastAsia="宋体" w:cs="宋体"/>
          <w:sz w:val="24"/>
          <w:szCs w:val="24"/>
        </w:rPr>
        <w:t>全面发展</w:t>
      </w:r>
      <w:r>
        <w:rPr>
          <w:rFonts w:hint="eastAsia" w:ascii="宋体" w:hAnsi="宋体" w:eastAsia="宋体" w:cs="宋体"/>
          <w:sz w:val="24"/>
          <w:szCs w:val="24"/>
          <w:lang w:eastAsia="zh-CN"/>
        </w:rPr>
        <w:t>，</w:t>
      </w:r>
      <w:r>
        <w:rPr>
          <w:rFonts w:hint="eastAsia" w:ascii="宋体" w:hAnsi="宋体" w:eastAsia="宋体" w:cs="宋体"/>
          <w:sz w:val="24"/>
          <w:szCs w:val="24"/>
        </w:rPr>
        <w:t>具有一定的科学文化水平，良好的人文素养</w:t>
      </w:r>
      <w:r>
        <w:rPr>
          <w:rFonts w:hint="eastAsia" w:ascii="宋体" w:hAnsi="宋体" w:eastAsia="宋体" w:cs="宋体"/>
          <w:sz w:val="24"/>
          <w:szCs w:val="24"/>
          <w:lang w:eastAsia="zh-CN"/>
        </w:rPr>
        <w:t>，</w:t>
      </w:r>
      <w:r>
        <w:rPr>
          <w:rFonts w:hint="eastAsia" w:ascii="宋体" w:hAnsi="宋体" w:eastAsia="宋体" w:cs="宋体"/>
          <w:sz w:val="24"/>
          <w:szCs w:val="24"/>
        </w:rPr>
        <w:t>创新精神和实践能力</w:t>
      </w:r>
      <w:r>
        <w:rPr>
          <w:rFonts w:hint="eastAsia" w:ascii="宋体" w:hAnsi="宋体" w:eastAsia="宋体" w:cs="宋体"/>
          <w:sz w:val="24"/>
          <w:szCs w:val="24"/>
          <w:lang w:eastAsia="zh-CN"/>
        </w:rPr>
        <w:t>；掌握本专业知识、技能</w:t>
      </w:r>
      <w:r>
        <w:rPr>
          <w:rFonts w:hint="eastAsia" w:ascii="宋体" w:hAnsi="宋体" w:eastAsia="宋体" w:cs="宋体"/>
          <w:sz w:val="24"/>
          <w:szCs w:val="24"/>
          <w:lang w:val="en-US" w:eastAsia="zh-CN"/>
        </w:rPr>
        <w:t>及</w:t>
      </w:r>
      <w:r>
        <w:rPr>
          <w:rFonts w:hint="eastAsia" w:ascii="宋体" w:hAnsi="宋体" w:eastAsia="宋体" w:cs="宋体"/>
          <w:sz w:val="24"/>
          <w:szCs w:val="24"/>
        </w:rPr>
        <w:t>职业适应能力和可持续发展能力</w:t>
      </w:r>
      <w:r>
        <w:rPr>
          <w:rFonts w:hint="eastAsia" w:ascii="宋体" w:hAnsi="宋体" w:eastAsia="宋体" w:cs="宋体"/>
          <w:sz w:val="24"/>
          <w:szCs w:val="24"/>
          <w:lang w:val="en-US" w:eastAsia="zh-CN"/>
        </w:rPr>
        <w:t>的保育、育婴及辅教工作者</w:t>
      </w:r>
      <w:r>
        <w:rPr>
          <w:rFonts w:hint="eastAsia" w:ascii="宋体" w:hAnsi="宋体" w:eastAsia="宋体" w:cs="宋体"/>
          <w:sz w:val="24"/>
          <w:szCs w:val="24"/>
        </w:rPr>
        <w:t>。</w:t>
      </w:r>
      <w:r>
        <w:rPr>
          <w:rFonts w:hint="eastAsia" w:ascii="宋体" w:hAnsi="宋体" w:eastAsia="宋体" w:cs="宋体"/>
          <w:sz w:val="24"/>
          <w:szCs w:val="24"/>
          <w:lang w:val="en-US" w:eastAsia="zh-CN"/>
        </w:rPr>
        <w:t>注重加强学生的师德师风教育，引导学生争做“四有”好老师</w:t>
      </w:r>
      <w:r>
        <w:rPr>
          <w:rFonts w:hint="eastAsia" w:ascii="宋体" w:hAnsi="宋体" w:eastAsia="宋体" w:cs="宋体"/>
          <w:sz w:val="24"/>
          <w:szCs w:val="24"/>
        </w:rPr>
        <w:t>，</w:t>
      </w:r>
      <w:r>
        <w:rPr>
          <w:rFonts w:hint="eastAsia" w:ascii="宋体" w:hAnsi="宋体" w:eastAsia="宋体" w:cs="宋体"/>
          <w:sz w:val="24"/>
          <w:szCs w:val="24"/>
          <w:lang w:val="en-US" w:eastAsia="zh-CN"/>
        </w:rPr>
        <w:t>培养具有</w:t>
      </w:r>
      <w:r>
        <w:rPr>
          <w:rFonts w:hint="eastAsia" w:ascii="宋体" w:hAnsi="宋体" w:eastAsia="宋体" w:cs="宋体"/>
          <w:sz w:val="24"/>
          <w:szCs w:val="24"/>
        </w:rPr>
        <w:t>劳动精神、工匠精神、劳模精神</w:t>
      </w:r>
      <w:r>
        <w:rPr>
          <w:rFonts w:hint="eastAsia" w:ascii="宋体" w:hAnsi="宋体" w:eastAsia="宋体" w:cs="宋体"/>
          <w:sz w:val="24"/>
          <w:szCs w:val="24"/>
          <w:lang w:val="en-US" w:eastAsia="zh-CN"/>
        </w:rPr>
        <w:t>等</w:t>
      </w:r>
      <w:r>
        <w:rPr>
          <w:rFonts w:hint="eastAsia" w:ascii="宋体" w:hAnsi="宋体" w:eastAsia="宋体" w:cs="宋体"/>
          <w:sz w:val="24"/>
          <w:szCs w:val="24"/>
        </w:rPr>
        <w:t>高素质</w:t>
      </w:r>
      <w:r>
        <w:rPr>
          <w:rFonts w:hint="eastAsia" w:ascii="宋体" w:hAnsi="宋体" w:eastAsia="宋体" w:cs="宋体"/>
          <w:sz w:val="24"/>
          <w:szCs w:val="24"/>
          <w:lang w:val="en-US" w:eastAsia="zh-CN"/>
        </w:rPr>
        <w:t>的</w:t>
      </w:r>
      <w:r>
        <w:rPr>
          <w:rFonts w:hint="eastAsia" w:ascii="宋体" w:hAnsi="宋体" w:eastAsia="宋体" w:cs="宋体"/>
          <w:sz w:val="24"/>
          <w:szCs w:val="24"/>
        </w:rPr>
        <w:t>劳动者和技能型</w:t>
      </w:r>
      <w:r>
        <w:rPr>
          <w:rFonts w:hint="eastAsia" w:ascii="宋体" w:hAnsi="宋体" w:eastAsia="宋体" w:cs="宋体"/>
          <w:sz w:val="24"/>
          <w:szCs w:val="24"/>
          <w:lang w:val="en-US" w:eastAsia="zh-CN"/>
        </w:rPr>
        <w:t>保教人才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1"/>
        <w:rPr>
          <w:rFonts w:hint="eastAsia" w:ascii="楷体_GB2312" w:hAnsi="楷体_GB2312" w:eastAsia="楷体_GB2312" w:cs="楷体_GB2312"/>
          <w:b/>
          <w:bCs/>
          <w:sz w:val="28"/>
          <w:szCs w:val="28"/>
        </w:rPr>
      </w:pPr>
      <w:bookmarkStart w:id="17" w:name="_Toc6257"/>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二</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培养规格</w:t>
      </w:r>
      <w:bookmarkEnd w:id="17"/>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本专业毕业生应具有以下职业素养、专业知识和技能：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职业素养</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坚定拥护中国共产党领导和我国社会主义制度，在习近平新时代中国特色社会主义思想指引下，践行社会主义核心价值观，具有深厚的爱国情感和中华民族自豪感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具有良好的职业道德德（即“四心”：爱心、耐心、细心、责任心），自觉遵守行业法规、规范和学前教育机构规章制度。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热爱</w:t>
      </w:r>
      <w:r>
        <w:rPr>
          <w:rFonts w:hint="eastAsia" w:ascii="宋体" w:hAnsi="宋体" w:eastAsia="宋体" w:cs="宋体"/>
          <w:sz w:val="24"/>
          <w:szCs w:val="24"/>
          <w:lang w:val="en-US" w:eastAsia="zh-CN"/>
        </w:rPr>
        <w:t>婴幼儿保育</w:t>
      </w:r>
      <w:r>
        <w:rPr>
          <w:rFonts w:hint="eastAsia" w:ascii="宋体" w:hAnsi="宋体" w:eastAsia="宋体" w:cs="宋体"/>
          <w:sz w:val="24"/>
          <w:szCs w:val="24"/>
        </w:rPr>
        <w:t>事业，关爱儿童，诚实守信，责任心强，耐心细致，做事认真。</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具有良好的身心素质，身体健康，乐观开朗。</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rPr>
        <w:t>具有团队合作精神，善于沟通与协作。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rPr>
        <w:t>具有一定的艺术修养和审美情趣。</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2"/>
        <w:rPr>
          <w:rFonts w:hint="eastAsia" w:ascii="宋体" w:hAnsi="宋体" w:eastAsia="宋体" w:cs="宋体"/>
          <w:b/>
          <w:bCs/>
          <w:sz w:val="24"/>
          <w:szCs w:val="24"/>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专业知识和技能</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 xml:space="preserve">掌握学前儿童卫生保健的基础知识，理解幼儿保教工作的意义，具有在幼儿园一日活动中做好保育工作的能力；能运用疾病预防、安全防护与救助的基本方法和技能，具有对婴幼儿意外伤害等突发事件进行初步应急处理的能力；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掌握学前儿童发展心理基础知识，了解幼儿心理发展各阶段的特点，知道幼儿学习的主要方式和特点，能初步观察与解释幼儿行为所表达的新开需求；信任幼儿，尊重个体差异，主动了解和满足有益于幼儿身心发展的不同需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 xml:space="preserve">具有为婴幼儿创设整洁、舒适、安全的一日生活环境的能力；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具有配合教师组织３—６岁幼儿学习、运动、游戏等活动的能力；</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具有运用符合婴幼儿年龄特点的语言，与婴幼儿进行有效沟通的基本表达 能力；</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具备幼儿园一日活动的组织与管理能力，能将教育合理渗透到幼儿生活的各个环节当中；能够科学照料幼儿一日生活，做好常规管理工作；能够及时处理好幼儿的常见疾病与突发事故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具有制定保育工作计划、撰写保育日志以及进行反思总结的能力；</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了解幼儿文学特征和功能，掌握儿童文学的常见体裁，初步了解儿童文学作品的特点、作用；具有幼儿文学作品的阅读、分析、欣赏与评价能力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 xml:space="preserve">具有配合教师进行语言、美工、音乐、舞蹈等方面教育教学的基本技能；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cs="宋体"/>
          <w:sz w:val="24"/>
          <w:szCs w:val="24"/>
          <w:lang w:eastAsia="zh-CN"/>
        </w:rPr>
        <w:t>）</w:t>
      </w:r>
      <w:r>
        <w:rPr>
          <w:rFonts w:hint="eastAsia" w:ascii="宋体" w:hAnsi="宋体" w:eastAsia="宋体" w:cs="宋体"/>
          <w:sz w:val="24"/>
          <w:szCs w:val="24"/>
        </w:rPr>
        <w:t>具有训练０—３岁婴幼儿动作、语言，以及指导０—３岁婴幼儿认知活动、培养 ０—３岁婴幼儿情绪、情感与社会性行为等教育婴幼儿的基本能力</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cs="宋体"/>
          <w:sz w:val="24"/>
          <w:szCs w:val="24"/>
          <w:lang w:eastAsia="zh-CN"/>
        </w:rPr>
        <w:t>）</w:t>
      </w:r>
      <w:r>
        <w:rPr>
          <w:rFonts w:hint="eastAsia" w:ascii="宋体" w:hAnsi="宋体" w:eastAsia="宋体" w:cs="宋体"/>
          <w:sz w:val="24"/>
          <w:szCs w:val="24"/>
        </w:rPr>
        <w:t>初步掌握0-3岁婴幼儿</w:t>
      </w:r>
      <w:r>
        <w:rPr>
          <w:rFonts w:hint="eastAsia" w:ascii="宋体" w:hAnsi="宋体" w:eastAsia="宋体" w:cs="宋体"/>
          <w:sz w:val="24"/>
          <w:szCs w:val="24"/>
          <w:lang w:val="en-US" w:eastAsia="zh-CN"/>
        </w:rPr>
        <w:t>抚育</w:t>
      </w:r>
      <w:r>
        <w:rPr>
          <w:rFonts w:hint="eastAsia" w:ascii="宋体" w:hAnsi="宋体" w:eastAsia="宋体" w:cs="宋体"/>
          <w:sz w:val="24"/>
          <w:szCs w:val="24"/>
        </w:rPr>
        <w:t>和教育的有关知识，掌握婴幼儿教养活动的方法与基本技能，能初步运用婴幼儿教养知识开展并指导家长进行早期教育</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eastAsia="zh-CN"/>
        </w:rPr>
        <w:t>）</w:t>
      </w:r>
      <w:r>
        <w:rPr>
          <w:rFonts w:hint="eastAsia" w:ascii="宋体" w:hAnsi="宋体" w:eastAsia="宋体" w:cs="宋体"/>
          <w:sz w:val="24"/>
          <w:szCs w:val="24"/>
        </w:rPr>
        <w:t>具有照护婴幼儿进餐、盥洗、睡眠、排便、出行等生活活动并培养婴幼儿良好生 活习惯和独立生活能力的能力；</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w:t>
      </w:r>
      <w:r>
        <w:rPr>
          <w:rFonts w:hint="eastAsia" w:ascii="宋体" w:hAnsi="宋体" w:eastAsia="宋体" w:cs="宋体"/>
          <w:sz w:val="24"/>
          <w:szCs w:val="24"/>
        </w:rPr>
        <w:t>掌握幼儿语言特点和教师常用幼儿教育语言技能，能用普通话准确、清晰、亲切地进行口语表达。</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8" w:name="_Toc25720"/>
      <w:r>
        <w:rPr>
          <w:rFonts w:hint="eastAsia" w:ascii="黑体" w:hAnsi="黑体" w:eastAsia="黑体" w:cs="黑体"/>
          <w:b w:val="0"/>
          <w:bCs w:val="0"/>
          <w:sz w:val="32"/>
          <w:szCs w:val="32"/>
          <w:lang w:val="en-US" w:eastAsia="zh-CN"/>
        </w:rPr>
        <w:t>六、工作任务与职业能力分析</w:t>
      </w:r>
      <w:bookmarkEnd w:id="18"/>
    </w:p>
    <w:p>
      <w:pPr>
        <w:numPr>
          <w:ilvl w:val="0"/>
          <w:numId w:val="0"/>
        </w:numPr>
        <w:spacing w:line="240" w:lineRule="auto"/>
        <w:outlineLvl w:val="9"/>
        <w:rPr>
          <w:rFonts w:hint="eastAsia" w:ascii="宋体" w:hAnsi="宋体" w:eastAsia="宋体" w:cs="宋体"/>
          <w:b/>
          <w:bCs/>
          <w:sz w:val="24"/>
          <w:szCs w:val="24"/>
          <w:lang w:val="en-US" w:eastAsia="zh-CN"/>
        </w:rPr>
      </w:pPr>
    </w:p>
    <w:p>
      <w:pPr>
        <w:bidi w:val="0"/>
        <w:rPr>
          <w:rFonts w:hint="eastAsia"/>
          <w:lang w:val="en-US" w:eastAsia="zh-CN"/>
        </w:rPr>
      </w:pPr>
      <w:bookmarkStart w:id="19" w:name="_Toc1393"/>
    </w:p>
    <w:p>
      <w:pPr>
        <w:bidi w:val="0"/>
        <w:rPr>
          <w:rFonts w:hint="eastAsia"/>
          <w:lang w:val="en-US" w:eastAsia="zh-CN"/>
        </w:rPr>
      </w:pPr>
    </w:p>
    <w:p>
      <w:pPr>
        <w:bidi w:val="0"/>
        <w:rPr>
          <w:rFonts w:hint="eastAsia"/>
          <w:lang w:val="en-US" w:eastAsia="zh-CN"/>
        </w:rPr>
      </w:pPr>
    </w:p>
    <w:p>
      <w:pPr>
        <w:spacing w:line="24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表一 </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幼儿园保育员</w:t>
      </w:r>
      <w:bookmarkEnd w:id="19"/>
    </w:p>
    <w:tbl>
      <w:tblPr>
        <w:tblStyle w:val="26"/>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434"/>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任务领域</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工作任务</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环境与物品的保洁与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消毒</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１-１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保洁</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１-１-１能根据设备设施、日常生活用品（具）、学习、运动、游戏用品（具）的特点，合理选用保洁方法按规范进行保洁。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１-１-２ 能将物品按方便、有序、美观的原则合理摆放。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１-２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消毒</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１-２-１ 能在一日生活的各个环节为幼儿的日常物品、设施等选用合适的消毒方法和消毒时间、消毒剂浓度进行预防性消毒，并记录。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１-２-２能在发生传染病时，按照传染病管理要求，在保健医生指导下选择合适的消毒方法、消毒时间和消毒剂浓度做好终末消毒和随时消毒，并记录。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幼儿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生活保育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幼儿生活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保育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进餐保育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２-１-１ 能创设卫生、安全、舒适的进餐环境，并保证餐具和餐桌椅的清洁卫生。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２-１-２ 能根据季节、天气情况进行饭菜的保温、保洁。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２-１-３ 能根据幼儿的年龄特点及身体状况分发饭菜。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２-１-４ 能对幼儿进行餐前教育，帮助幼儿愉快地吃完自己的一份饭菜。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２-１-５能针对特殊儿童的不同身体状况做好相应的进餐保育工作。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２-１-６ 能培养幼儿独立进餐能力和良好的进餐习惯，纠正幼儿不良的进餐姿势。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２-１-７ 能够指导中、大班幼儿的进餐值日工作 ２-１-８能根据幼儿进餐的不同状况及身心发展的个体差异，做好进餐的个别教育工作。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饮水保育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２-２-１ 能维护饮水用具的清洁、卫生、安全，并方便幼儿使用。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２-２-２能根据天气、幼儿的活动量、饮食情况提供温度适宜、充足的饮用水。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２-２-３ 能指导幼儿认识水杯标记，并正确使用水杯喝水。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２-２-４能够照顾和组织不同年龄班的婴幼儿安静地饮水并培养婴幼儿良好的饮水习惯。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２-２-５能关注体弱儿的饮水情况，确保体弱儿饮足水分。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２-２-６能根据幼儿饮水的不同状况及身心发展的个体差异，做好饮水的个别教育工作。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盥洗保育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２-３-１能保持整洁、安全、通风、干燥的盥洗环境。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２-３-２能提供方便幼儿取用、清洁卫生的盥洗用品和温度适宜的盥洗用水。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２-３-３能帮助、指导幼儿采用正确的方法盥洗（刷牙、洗手、洗脸、洗脚、洗臀、洗澡）。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２-３-４能培养幼儿养成正确的洗手、洗脸、洗澡习惯和独立盥洗的能力。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２-３-５能维护幼儿盥洗时的安全。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２-３-６能根据幼儿盥洗的不同状况及身心发展的个体差异，做好盥洗的个别教育工作。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如厕保育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２-４-１能保持清洁、干燥、安全、通风的如厕环境，保持如厕用品的清洁、卫生、安全，并便于幼儿使用。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２-４-２能指导不同年龄、性别的幼儿正确如厕，培养良好的排便习惯和独立如厕的能力。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２-４-３ 能辨别异常大小便，并及时进行处理。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２-４-４能根据幼儿如厕的不同状况及身心发展的个体差异，做好如厕的个别教育工作。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睡眠保育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２-５-１能保持整洁、安静、光线温度适宜、美观舒适的卧室环境，并维护卧具的清洁、卫生与安全。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２-５-２能培养幼儿良好的睡眠习惯和独立睡眠能力，纠正不良的睡眠姿势和睡眠习惯。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２-５-３能及时发现幼儿睡眠的异常情况，并进行应急处理。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２-５-４能针对特殊幼儿的不同情况，进行相应的睡眠保育。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２-５-５能根据幼儿睡眠的不同状况及身心发展的个体差异，做好睡眠的个别教育工作。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２-６来园、离园保育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２-６-１能为幼儿创设整洁、卫生、安全、舒适的来园活动环境。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２-６-２能热情接待幼儿及家长，并能进行有效沟通。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２-６-３能根据幼儿的年龄特点和审美要求，合理有序地存放幼儿携带来园的衣物、玩具、图书等物品，并妥善处置幼儿携带的不安全物品。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２-６-４能培养幼儿来园、离园时的礼貌言行。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２-６-５能根据幼儿来园、离园的不同状况及身心发展的个体差异，做好来园、离园的个别教育工作。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477"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cs="宋体"/>
                <w:b w:val="0"/>
                <w:bCs w:val="0"/>
                <w:sz w:val="21"/>
                <w:szCs w:val="21"/>
                <w:vertAlign w:val="baseline"/>
                <w:lang w:val="en-US" w:eastAsia="zh-CN"/>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教育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活动辅助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both"/>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教育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活动辅助</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3-１幼儿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运动辅助</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３-１-１能创设安全、整洁的活动环境，保持运动器具的清洁、安全、卫生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３-１-2能辅助教师制作运动玩具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３-１-３能根据气温和活动量做好幼儿运动前的准备和运动后的整理工作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３-１-４能根据教师要求和幼儿年龄特点准备相应的运动器具，并能对运动器具进行安全鉴别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３-１-５能观察运动中幼儿的体征，特别关注特殊儿童的体征，并进行相应护理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３-１-６能协助教师指导幼儿参加运动，培养幼儿良好运动习惯和运动能力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３-１-７能协助教师处理各类运动突发事件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３-１-８能及时发现并排除幼儿运动时的危险因素，维护幼儿运动的安全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３-１-９能在运动结束时指导幼儿及时收拾和整理运动器具，培养幼儿独立收拾、整理运动器具的能力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３-１-1０能对运动后的幼儿进行观察与护理，维护幼儿的健康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３-２幼儿游戏活动辅助</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３-２-１能创设安全、整洁的游戏环境，保持游戏材料的清洁、安全、卫生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３-２-２能辅助教师制作游戏玩具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３-２-３能根据游戏活动的内容和幼儿年龄特点，协助教师创设相应的游戏环境，准备相应的游戏材料，并能对游戏材料进行安全鉴别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３-２-４能根据教师要求参与游戏活动，并指导、照顾个别幼儿顺利开展游戏活动，解除游戏障碍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３-２-５能协助教师及时果断地处理游戏中的偶发事件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３-２-６能及时发现并排除幼儿游戏时的危险因素，维护幼儿游戏活动的安全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３-２-７能在游戏结束时指导幼儿及时收拾和整理游戏材料，培养幼儿良好的游戏习惯和独立收拾、整理游戏材料的能力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幼儿学习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活动辅助</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３-３-１能根据学习活动的内容和幼儿的年龄特点，协助教师创设相应的学习环境，做好相应的教具、学具准备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３-３-２能配合教师进行音乐活动示教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３-３-３能根据教师要求帮助和辅导个别幼儿参与学习活动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３-３-４能维护幼儿学习活动的安全与卫生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３-３-５ 能果断地协助教师处理学习活动中的偶发事件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３-３-６能辅助老师培养幼儿良好的学习习惯和独立收拾、整理学习材料的能力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47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４．常见病、 传染病的识别与预防</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健康检查</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４-１-１能协助保健医生和教师进行晨、午、晚检，能发现异常情况，并及时应对（包括报告保健医生进一步检查观察、判定是否送医院、判定是否马上与家长联系、对留园观察的孩子加强护理等）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４-１-２能配合保健医生做好幼儿的体检工作，能发现异常儿，并能在保健老师指导下，做好异常儿的护理工作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４-２常见病的识别应对与预防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４-２-１能初步识别幼儿身体的常见异常情况（发热、异常排便、呼吸道感染、皮疹、腹痛、呕吐、咀嚼疼痛等）并能及时应对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４-２-２能在保健老师的指导下做好常见病的预防工作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４-２-３能维护婴幼儿眼耳鼻及皮肤的安全与卫生，并能对眼耳鼻病及皮肤病患儿进行滴药、搽药等基本护理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４-２-４能在保健老师的指导下，做好留园患病幼儿的护理工作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４-３传染病的应急处理与预防</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４-３-１能在保健老师的指导下对传染病发病班采取紧急预防隔离措施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４-３-２能在保健老师的指导下做好传染病发病班检疫期的保洁与消毒工作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４-３-３能在保健老师的指导下做好传染病的预防工作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47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急症救助与突发事件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应急处理</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５-１幼儿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急症救助</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５-１-１能配合保健老师在意外伤害现场采取合理的应对措施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５-１-２能对常见急症（呼吸困难、惊厥、叮咬伤、过敏、昏迷）及意外伤害（如：挫伤、鼻出血、烫伤、小外伤、异物入体、骨折等）进行初步处理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５-１-３能妥善安排受到意外伤害及在现场的孩子，及时与他们沟通并能安慰他们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５-１-４能对常见伤害进行预防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５-２突发事件应急处理</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５-２-１能对火灾进行应急处理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５-２-２能对水灾进行应急处理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５-２-３能初步识别食物中毒，对食物中毒的幼儿及班级进行初步的应急处理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５-２-４能对触电幼儿进行应急处理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５-２-５能对暴力进行应急处理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５-２-６能对其他突发事件进行应急处理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５-２-７能协助教师培养幼儿应对突发事件的自我保护能力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7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6.与幼儿沟通</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６-１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了解幼儿</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６-１-１能区分不同幼儿的气质特征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６-１-２能从各年龄幼儿的言行举止中了解幼儿的基本需要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６-１-３能发现各年龄幼儿发展中经常出现的基本问题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６-１-４能根据发展指标，判断幼儿的发展水平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６-２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与幼儿沟通</w:t>
            </w:r>
          </w:p>
        </w:tc>
        <w:tc>
          <w:tcPr>
            <w:tcW w:w="622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６-２-１能观察幼儿，及时回应幼儿的需要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６-２-２能根据幼儿不同的气质特征采取适当的沟通方式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６-２-３能选择恰当的时机，以符合年龄特点的方式与幼儿沟通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47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7.幼儿行为观察与引导</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７-１幼儿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行为观察</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７-１-１能观察幼儿行为细节，及时发现并回应幼儿的需要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７-１-２能根据幼儿的行为细节，初步识别适宜行为与偏差行为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７-１-３能对偏差行为做好观察记录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７-１-４能与同班老师一起分析、确认偏差行为的性质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７-１-５能与同班老师及家长沟通，分析偏差行为发生的原因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７-２幼儿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行为引导</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７-２-１能辅助幼儿教师创设适宜环境，鼓励儿童的适宜行为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７-２-２能区分偏差行为与短时情绪冲动行为，并及时安抚有情绪的、行为不当的幼儿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７-２-３能针对偏差行为发生的原因，与本班老师及家长一起排除产生偏差行为的因素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７-２-４能运用强化、忽视、自我控制时间、独处、预防、转移注意力、讨论、创造性的问题解决、留出专门时间、光荣榜等策略，改善婴幼儿的偏差行为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7-２-５能配合本班老师与家长进行有效沟通，调动家长一起配合，干预、纠正不良行为，并为有偏差行为婴幼儿的家长提供支援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7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8.家长工作</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８-１家长会</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８-１-１能协助教师做好家长会的相关准备工作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８-１-２能参与班级家长会并简要向家长介绍保育工作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８-２家访</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８-２-１能与同班老师一起确定家访的主题与内容，并做好家访的相关准备工作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８-２-２能与家长进行有效沟通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个别交流</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８-３-１能根据幼儿及家长的特点，采取适当的方式，有针对性地与家长交流沟通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８-３-２能给家长提供科学保育的建议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亲子活动</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８-４-１能根据教师设定的亲子活动主题，协助教师做好相关准备工作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８-４-２能协助教师组织并参与亲子活动，解决亲子活动中的常见问题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８-４-３能协助教师指导家长进行亲子活动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477" w:type="dxa"/>
            <w:vMerge w:val="restart"/>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保育</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工作记录</w:t>
            </w: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９-１工作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计划总结</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９-１-１能根据幼儿园要求，结合本班幼儿实际情况制定学期保育工作计划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９-１-２能撰写班级保育工作总结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台账书写</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９-２-１能及时做好保育工作台账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９-２-２能将保育工作台账整理、归类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p>
        </w:tc>
        <w:tc>
          <w:tcPr>
            <w:tcW w:w="14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案例记录</w:t>
            </w:r>
          </w:p>
        </w:tc>
        <w:tc>
          <w:tcPr>
            <w:tcW w:w="62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９-３-１能收集日常工作的典型案例并进行简单反思</w:t>
            </w:r>
          </w:p>
        </w:tc>
      </w:tr>
    </w:tbl>
    <w:p>
      <w:pPr>
        <w:bidi w:val="0"/>
        <w:rPr>
          <w:rFonts w:hint="eastAsia"/>
          <w:lang w:val="en-US" w:eastAsia="zh-CN"/>
        </w:rPr>
      </w:pPr>
      <w:bookmarkStart w:id="20" w:name="_Toc18635"/>
    </w:p>
    <w:p>
      <w:pPr>
        <w:spacing w:line="520" w:lineRule="exact"/>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表二 </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育 婴 员</w:t>
      </w:r>
      <w:bookmarkEnd w:id="20"/>
    </w:p>
    <w:tbl>
      <w:tblPr>
        <w:tblStyle w:val="26"/>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115"/>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任务领域</w:t>
            </w: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工作任务</w:t>
            </w:r>
          </w:p>
        </w:tc>
        <w:tc>
          <w:tcPr>
            <w:tcW w:w="54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restart"/>
            <w:vAlign w:val="center"/>
          </w:tcPr>
          <w:p>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numPr>
                <w:ilvl w:val="0"/>
                <w:numId w:val="0"/>
              </w:numPr>
              <w:suppressLineNumbers w:val="0"/>
              <w:spacing w:before="0" w:beforeAutospacing="0" w:after="0" w:afterAutospacing="0" w:line="240" w:lineRule="auto"/>
              <w:ind w:left="0" w:right="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生活照护</w:t>
            </w: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婴幼儿一日</w:t>
            </w:r>
            <w:r>
              <w:rPr>
                <w:rFonts w:hint="eastAsia" w:ascii="宋体" w:hAnsi="宋体" w:eastAsia="宋体" w:cs="宋体"/>
                <w:sz w:val="21"/>
                <w:szCs w:val="21"/>
                <w:vertAlign w:val="baseline"/>
                <w:lang w:val="en-US" w:eastAsia="zh-CN"/>
              </w:rPr>
              <w:t>生</w:t>
            </w:r>
            <w:r>
              <w:rPr>
                <w:rFonts w:hint="eastAsia" w:ascii="宋体" w:hAnsi="宋体" w:eastAsia="宋体" w:cs="宋体"/>
                <w:sz w:val="21"/>
                <w:szCs w:val="21"/>
                <w:vertAlign w:val="baseline"/>
              </w:rPr>
              <w:t>活安排</w:t>
            </w:r>
          </w:p>
        </w:tc>
        <w:tc>
          <w:tcPr>
            <w:tcW w:w="54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１能制定０—３岁婴幼儿不同月龄的一日作息表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２能指导家长安排好０—３岁婴幼儿的一日生活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婴幼儿喂养</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１能给母乳喂养的母亲进行基本指导，发现错误操 作能及时纠正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２能根据０—３岁婴幼儿月龄及身体情况选择和冲调配方奶粉，并喂哺０—３岁婴幼儿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３能进行０—３岁婴幼儿溢奶、食物过敏的预防和处理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４能为不同月龄的婴幼儿制作一日膳食 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５能根据０—３岁婴幼儿月龄，为０—３岁婴幼儿做好进餐护理工作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６能训练０—３岁婴幼儿使用餐具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７能保持０—３岁婴幼儿餐具的清洁卫生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婴幼儿盥洗照护</w:t>
            </w:r>
          </w:p>
        </w:tc>
        <w:tc>
          <w:tcPr>
            <w:tcW w:w="5415" w:type="dxa"/>
          </w:tcPr>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１能创设安全、卫生、适宜的盥洗环境，并保持０—３岁婴幼儿盥洗设施设备的清洁卫生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２能根据０—３岁婴幼儿月龄，采取适当的措施，照护０—３岁婴幼儿盥洗，保持０—３岁婴幼儿身体各部分的清洁卫生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３能及时发现并排除盥洗的危险因素，维护０—３岁婴幼儿盥洗的安全卫生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４能做好０—３岁婴幼儿盥洗时的防暑降温和防寒保暖工作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婴幼儿睡眠照护</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１能创设适宜的睡眠条件，并保持卧具、卧室环境的清洁卫生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２能安抚０—３岁婴幼儿入睡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３能发现并处理０—３岁婴幼儿睡眠时的异常情况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婴幼儿排便照护</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１能创设适宜的排便环境，并保持便器及排便环境的清洁卫生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２能根据０—３岁婴幼儿的月龄、性别及生理特点选择合适的尿布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３能识别０—３岁婴幼儿的排便信号，及时做好０—３岁婴幼儿排便的照护工作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４能识别异常大小便并及时应对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５能做好尿布疹的护理与预防工作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６能训练０—３岁婴幼儿使用便器、专心排便，培养０—３岁婴幼儿良好的排便习惯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婴幼儿出行照护</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１能根据０—３岁婴幼儿月龄、身体状况、气候及出行目的，备好相应的衣服、用具和物品 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２能根据０—３岁婴幼儿月龄，维护０—３岁婴幼儿出行的安全卫生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３能根据０—３岁婴幼儿月龄、身体情况及目的地远近，选择或使用合适的交通工具照护０—３岁婴幼儿的出行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2.保健与</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护理</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生长监测</w:t>
            </w:r>
          </w:p>
        </w:tc>
        <w:tc>
          <w:tcPr>
            <w:tcW w:w="5415" w:type="dxa"/>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１能根据０—３岁婴幼儿月龄选择合适的体重测量工具，为０—３岁婴幼儿测量体重，制作体重生长曲线图并进行初步评价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２能根据０—３岁婴幼儿月龄选择合适的身高测量工具，为０—３岁婴幼儿测量身高，制作身高生长曲线图并 进行初步评价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３能为０—３岁婴幼儿测量头围、前囟、上臂围、胸围等，并借助生长发育参考值对测量对象进行初步评价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三浴锻炼与抚触</w:t>
            </w:r>
          </w:p>
        </w:tc>
        <w:tc>
          <w:tcPr>
            <w:tcW w:w="5415" w:type="dxa"/>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１能根据０—３岁婴幼儿月龄及身体状况，确定空气浴的对象、季节、时间、地点及方式，并组织空气浴锻炼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２能根据０—３岁婴幼儿月龄及身体状况，确定日光浴的对象、季节、时间、地点及方式，并组织日光浴锻炼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３能根据０—３岁婴幼儿月龄及身体状况，确定水浴的对象、季节、时间、地点及方式，并组织水浴锻炼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４能根据０—３岁婴幼儿月龄及身体状况，选择合适的时间、动作和力度为０—３岁婴幼儿进行全身抚触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常见症状护理</w:t>
            </w:r>
          </w:p>
        </w:tc>
        <w:tc>
          <w:tcPr>
            <w:tcW w:w="5415" w:type="dxa"/>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１能根据０—３岁婴幼儿的月龄及身体状况，选择合适的测量部位及体温计为０—３岁婴幼儿测量体温，能分辨异常体温并及时应对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２能根据０—３岁婴幼儿月龄、身体状况及药品的状态，采取合适的方式为患病</w:t>
            </w:r>
            <w:r>
              <w:rPr>
                <w:rFonts w:hint="eastAsia" w:ascii="宋体" w:hAnsi="宋体" w:cs="宋体"/>
                <w:sz w:val="21"/>
                <w:szCs w:val="21"/>
                <w:vertAlign w:val="baseline"/>
                <w:lang w:eastAsia="zh-CN"/>
              </w:rPr>
              <w:t>儿童</w:t>
            </w:r>
            <w:r>
              <w:rPr>
                <w:rFonts w:hint="eastAsia" w:ascii="宋体" w:hAnsi="宋体" w:eastAsia="宋体" w:cs="宋体"/>
                <w:sz w:val="21"/>
                <w:szCs w:val="21"/>
                <w:vertAlign w:val="baseline"/>
              </w:rPr>
              <w:t xml:space="preserve">喂药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３能根据０—３岁婴幼儿月龄、身体状况及药品的状态，采取合适的方式为患病儿滴眼、耳、鼻药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４能根据０—３岁婴幼儿月龄、身体状况及病情，照顾０—３岁婴幼儿就医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５能根据０—３岁婴幼儿月龄、身体状况及病情，对发热儿采取合理的护理措施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６能为新生儿进行脐部护理，能发现异常情况并及时应对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７能根据０—３岁婴幼儿月龄及身体状况，及时采取合适的方式处理婴幼儿便秘，并采取相应的预防措施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８能对０—３岁婴幼儿常见急症（呼吸困难、惊厥、叮咬伤、过敏、昏迷等）进行预防与初步处理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意外伤害与</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急症的处理</w:t>
            </w:r>
          </w:p>
        </w:tc>
        <w:tc>
          <w:tcPr>
            <w:tcW w:w="5415" w:type="dxa"/>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及时发现０—３岁婴幼儿的意外伤害（小外伤、扭伤、皮下血肿、鼻出血、烫烧伤、异物入体、骨伤、服错药、被宠物咬伤、蚊虫叮咬、蜂蜇等），及时采取合适的应对措施，并根据伤害程度对受伤部位进行初步护理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２能查找并处理０—３岁婴幼儿生活环境中的安全隐患 </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３能及时发现０—３岁婴幼儿急症，及时采取合适的应对措施，并根据婴幼儿急症状态，进行初步救助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restart"/>
            <w:vAlign w:val="center"/>
          </w:tcPr>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both"/>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both"/>
              <w:rPr>
                <w:rFonts w:hint="eastAsia" w:ascii="宋体" w:hAnsi="宋体" w:eastAsia="宋体" w:cs="宋体"/>
                <w:sz w:val="21"/>
                <w:szCs w:val="21"/>
                <w:vertAlign w:val="baseline"/>
                <w:lang w:val="en-US" w:eastAsia="zh-CN"/>
              </w:rPr>
            </w:pPr>
          </w:p>
          <w:p>
            <w:pPr>
              <w:keepNext w:val="0"/>
              <w:keepLines w:val="0"/>
              <w:numPr>
                <w:ilvl w:val="0"/>
                <w:numId w:val="0"/>
              </w:numPr>
              <w:suppressLineNumbers w:val="0"/>
              <w:spacing w:before="0" w:beforeAutospacing="0" w:after="0" w:afterAutospacing="0" w:line="240" w:lineRule="auto"/>
              <w:ind w:left="0" w:leftChars="0" w:right="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rPr>
              <w:t>教育实施</w:t>
            </w: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婴幼儿动作能力训练</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１能根据０—３岁婴幼儿动作发展特点与规律，选择合适的锻炼动作、锻炼时间，对婴幼儿进行动作训练（抬头、翻身、坐、爬、站立、行走、跑、跳等）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１</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２能根据０—３岁婴幼儿动作发展特点与规律，选择合适的锻炼操节、锻炼时间，辅助婴幼儿做操（主被动操、模仿操、手指操等）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婴幼儿语言能力训练</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１能选择适合０—３岁婴幼儿月龄的指认内容，在合适的时间与０—３岁婴幼儿一起玩指认游戏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２能选择适合０—３岁婴幼儿月龄的文学作品（故事、儿歌、童谣），并在合适的时间为０—３岁婴幼儿讲故事、念儿歌或童谣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３能选择适合０—３岁婴幼儿月龄的、能发展０—３岁婴幼儿听和说能力的图书、图片或有声读物，并在合适的时间与０—３岁婴幼儿一起看图书、图片或听有声读物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４能选择适合０—３岁婴幼儿月龄的、能发展０—３岁婴幼儿听和说能力的游戏，并在合适的时间与０—３岁婴幼儿一起玩发展听和说能力的游戏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５能选择适合０—３岁婴幼儿月龄的、能发展０—３岁婴幼儿节律的游戏，并在合适的时间与０—３岁婴幼儿一起玩节律游戏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婴幼儿认知活动指导</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１能选择适合０—３岁婴幼儿月龄的、能发展０—３岁婴幼儿触摸觉的游戏，并在合适的时间与０—３岁婴幼儿一起玩触摸觉的游戏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２能选择适合０—３岁婴幼儿月龄的、能发展０—３岁婴幼儿听觉的游戏，并在合适的时间与０—３岁婴幼儿一起玩听觉游戏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３能选择适合０—３岁婴幼儿月龄的、能发展０—３岁婴幼儿视觉的游戏，并在合适的时间与０—３岁婴幼儿一起玩视觉的游戏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４能选择适合０—３岁婴幼儿月龄的、能发展０—３岁婴幼儿分类、配对、排序能力的游戏，并在合适的时间与０—３岁婴幼儿一起玩分类、配对、排序游戏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５能选择适合０—３岁婴幼儿月龄的、能发展０—３岁婴幼儿数字能力的游戏，并在合适的时间与０—３岁婴幼儿一起玩数字的游戏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６能选择适合０—３岁婴幼儿月龄的、泥工、纸工、涂鸦等艺术活动，并在合适的时间与０—３岁婴幼儿一起进行泥工、纸工、涂鸦等艺术活动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p>
        </w:tc>
        <w:tc>
          <w:tcPr>
            <w:tcW w:w="21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０</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３岁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婴幼儿情感与</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社会行为培养</w:t>
            </w:r>
          </w:p>
        </w:tc>
        <w:tc>
          <w:tcPr>
            <w:tcW w:w="54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１能根据０—３岁婴幼儿月龄、发出的声音及肢体语言，判别婴幼儿基本的情感需要，回应婴幼儿的基本情绪反应，并满足０—３岁婴幼儿合理的情感需要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３</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４</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２能选择或仿编适合０—３岁婴幼儿月龄的、能促进０—３岁婴幼儿社会性发展的游戏，并在合适的时间与０—３岁婴幼儿一起玩促进０—３岁婴幼儿社会性发展的游戏</w:t>
            </w:r>
          </w:p>
        </w:tc>
      </w:tr>
    </w:tbl>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黑体" w:hAnsi="黑体" w:eastAsia="黑体" w:cs="黑体"/>
          <w:b w:val="0"/>
          <w:bCs w:val="0"/>
          <w:sz w:val="32"/>
          <w:szCs w:val="32"/>
        </w:rPr>
      </w:pPr>
      <w:bookmarkStart w:id="21" w:name="_Toc11167"/>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、课程设置及要求</w:t>
      </w:r>
      <w:bookmarkEnd w:id="21"/>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22" w:name="_Toc23913"/>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宋体" w:hAnsi="宋体" w:eastAsia="宋体" w:cs="宋体"/>
          <w:b/>
          <w:bCs/>
          <w:sz w:val="24"/>
          <w:szCs w:val="24"/>
          <w:lang w:val="en-US" w:eastAsia="zh-CN"/>
        </w:rPr>
      </w:pPr>
      <w:bookmarkStart w:id="37" w:name="_GoBack"/>
      <w:bookmarkEnd w:id="37"/>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val="en-US" w:eastAsia="zh-CN"/>
        </w:rPr>
        <w:t>课程结构图</w:t>
      </w:r>
      <w:bookmarkEnd w:id="22"/>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b/>
          <w:bCs/>
          <w:sz w:val="24"/>
          <w:szCs w:val="24"/>
          <w:lang w:val="en-US" w:eastAsia="zh-CN"/>
        </w:rPr>
      </w:pPr>
    </w:p>
    <w:p>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-247015</wp:posOffset>
            </wp:positionH>
            <wp:positionV relativeFrom="paragraph">
              <wp:posOffset>168910</wp:posOffset>
            </wp:positionV>
            <wp:extent cx="5744845" cy="5291455"/>
            <wp:effectExtent l="0" t="0" r="635" b="12065"/>
            <wp:wrapNone/>
            <wp:docPr id="4" name="图片 3" descr="C:\Users\lenovo\Desktop\1633627424(1).jpg1633627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lenovo\Desktop\1633627424(1).jpg1633627424(1)"/>
                    <pic:cNvPicPr>
                      <a:picLocks noChangeAspect="1"/>
                    </pic:cNvPicPr>
                  </pic:nvPicPr>
                  <pic:blipFill>
                    <a:blip r:embed="rId5"/>
                    <a:srcRect/>
                    <a:stretch>
                      <a:fillRect/>
                    </a:stretch>
                  </pic:blipFill>
                  <pic:spPr>
                    <a:xfrm>
                      <a:off x="0" y="0"/>
                      <a:ext cx="5744845" cy="5291455"/>
                    </a:xfrm>
                    <a:prstGeom prst="rect">
                      <a:avLst/>
                    </a:prstGeom>
                    <a:noFill/>
                    <a:ln>
                      <a:noFill/>
                    </a:ln>
                  </pic:spPr>
                </pic:pic>
              </a:graphicData>
            </a:graphic>
          </wp:anchor>
        </w:drawing>
      </w: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ind w:firstLine="480" w:firstLineChars="200"/>
        <w:rPr>
          <w:rFonts w:hint="eastAsia" w:ascii="宋体" w:hAnsi="宋体" w:eastAsia="宋体" w:cs="宋体"/>
          <w:b/>
          <w:bCs/>
          <w:sz w:val="24"/>
          <w:szCs w:val="24"/>
        </w:rPr>
      </w:pPr>
    </w:p>
    <w:p>
      <w:pPr>
        <w:spacing w:line="520" w:lineRule="exact"/>
        <w:outlineLvl w:val="9"/>
        <w:rPr>
          <w:rFonts w:hint="eastAsia" w:ascii="宋体" w:hAnsi="宋体" w:eastAsia="宋体" w:cs="宋体"/>
          <w:b/>
          <w:bCs/>
          <w:sz w:val="24"/>
          <w:szCs w:val="24"/>
          <w:lang w:eastAsia="zh-CN"/>
        </w:rPr>
      </w:pPr>
    </w:p>
    <w:p>
      <w:pPr>
        <w:spacing w:line="520" w:lineRule="exact"/>
        <w:ind w:firstLine="480" w:firstLineChars="200"/>
        <w:outlineLvl w:val="1"/>
        <w:rPr>
          <w:rFonts w:hint="eastAsia" w:ascii="宋体" w:hAnsi="宋体" w:eastAsia="宋体" w:cs="宋体"/>
          <w:b/>
          <w:bCs/>
          <w:sz w:val="24"/>
          <w:szCs w:val="24"/>
        </w:rPr>
      </w:pPr>
      <w:bookmarkStart w:id="23" w:name="_Toc22122"/>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公共基础课程</w:t>
      </w:r>
      <w:bookmarkEnd w:id="23"/>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520" w:lineRule="exact"/>
        <w:ind w:firstLine="480" w:firstLineChars="200"/>
        <w:rPr>
          <w:rFonts w:hint="eastAsia" w:ascii="宋体" w:hAnsi="宋体" w:eastAsia="宋体" w:cs="宋体"/>
          <w:sz w:val="24"/>
          <w:szCs w:val="24"/>
        </w:rPr>
      </w:pPr>
    </w:p>
    <w:p>
      <w:pPr>
        <w:spacing w:line="520" w:lineRule="exact"/>
        <w:ind w:firstLine="560" w:firstLineChars="200"/>
        <w:jc w:val="left"/>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lang w:eastAsia="zh-CN"/>
        </w:rPr>
        <w:t>二</w:t>
      </w:r>
      <w:r>
        <w:rPr>
          <w:rFonts w:hint="eastAsia" w:ascii="楷体_GB2312" w:hAnsi="楷体_GB2312" w:eastAsia="楷体_GB2312" w:cs="楷体_GB2312"/>
          <w:b/>
          <w:bCs/>
          <w:sz w:val="28"/>
          <w:szCs w:val="28"/>
        </w:rPr>
        <w:t>）公共基础课</w:t>
      </w:r>
    </w:p>
    <w:tbl>
      <w:tblPr>
        <w:tblStyle w:val="25"/>
        <w:tblW w:w="9510"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00"/>
        <w:gridCol w:w="1230"/>
        <w:gridCol w:w="568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56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50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思想政治</w:t>
            </w:r>
          </w:p>
        </w:tc>
        <w:tc>
          <w:tcPr>
            <w:tcW w:w="123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中国特色社会主义</w:t>
            </w:r>
          </w:p>
        </w:tc>
        <w:tc>
          <w:tcPr>
            <w:tcW w:w="56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依据《中等职业学校思想政治课程标准（2020年版）》开设，</w:t>
            </w:r>
            <w:r>
              <w:rPr>
                <w:rFonts w:hint="eastAsia" w:ascii="宋体" w:hAnsi="宋体" w:eastAsia="宋体" w:cs="宋体"/>
                <w:sz w:val="21"/>
                <w:szCs w:val="21"/>
              </w:rPr>
              <w:t>包括《中国特色社会主义》、《心理健康与职业生涯》、《哲学与人生》、《职业道德与法治》，旨在对学生进行思想政治教育、道德教育、法制教育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心理健康</w:t>
            </w:r>
            <w:r>
              <w:rPr>
                <w:rFonts w:hint="eastAsia" w:ascii="宋体" w:hAnsi="宋体" w:eastAsia="宋体" w:cs="宋体"/>
                <w:sz w:val="21"/>
                <w:szCs w:val="21"/>
              </w:rPr>
              <w:t>、职业生涯和职业理想教育，提高学生的政治思想素质、职业道德和法律素质，促进学生的全面发展和综合职业能力的形成。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通过学习，使学生树立正确的职业理想，形成正确的职业观、择业观、创业观和成才观，初步具有职业生涯规划的能力；增强职业道德意识，养成良好的职业道德行为习惯；树立法治观念，增强法律意识，提高思想政治素质、职业道德素质和法律素质，促进德智体全面发展和综合职业能力形成，做好适应社会、融入社会、和就业与创业的准备。</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23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心理健康与职业</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生涯</w:t>
            </w:r>
          </w:p>
        </w:tc>
        <w:tc>
          <w:tcPr>
            <w:tcW w:w="56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23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哲学与</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人生</w:t>
            </w:r>
          </w:p>
        </w:tc>
        <w:tc>
          <w:tcPr>
            <w:tcW w:w="56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23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职业道德与法治</w:t>
            </w:r>
          </w:p>
        </w:tc>
        <w:tc>
          <w:tcPr>
            <w:tcW w:w="56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语文</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依据《中等职业学校语文课程标准（2020年版）》开设，</w:t>
            </w:r>
            <w:r>
              <w:rPr>
                <w:rFonts w:hint="eastAsia" w:ascii="宋体" w:hAnsi="宋体" w:eastAsia="宋体" w:cs="宋体"/>
                <w:sz w:val="21"/>
                <w:szCs w:val="21"/>
              </w:rPr>
              <w:t>指导学生正确理解与运用语言文字，对学生进行普通话训练、现代文阅读与欣赏训练、文言文阅读与欣赏训练、实用文体写作和口语交际能力训练、信息搜集整理与运用能力训练。注重应用文写作能力的训练，为幼儿活动课程方案写作提供基本语言的支持，加强语文实践，为综合职业能力的形成，以及继续学习奠定基础。同时，引导学生重视语言的积累和感悟，接受优秀文化的熏陶，提高思想品德修养和审美情趣，形成良好的个性、健全的人格，促进职业生涯的发展。</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数学</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依据《中等职业学校数学课程标准》开设，</w:t>
            </w:r>
            <w:r>
              <w:rPr>
                <w:rFonts w:hint="eastAsia" w:ascii="宋体" w:hAnsi="宋体" w:eastAsia="宋体" w:cs="宋体"/>
                <w:sz w:val="21"/>
                <w:szCs w:val="21"/>
              </w:rPr>
              <w:t>使学生掌握必要的数学基础知识，注重培养学生的逻辑思维能力，通过本课程的学习，使学生掌握职业岗位和生活中必要的数学基础知识，具备必需的数学运算能力和计算工具使用能力，提高学生的空间想象、数形结合、逻辑思维和分析解决问题的能力，为学生掌握职业技能、继续学习和终身发展奠定基础。</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英语</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依据《中等职业学校英语课程标准》开设，</w:t>
            </w:r>
            <w:r>
              <w:rPr>
                <w:rFonts w:hint="eastAsia" w:ascii="宋体" w:hAnsi="宋体" w:eastAsia="宋体" w:cs="宋体"/>
                <w:sz w:val="21"/>
                <w:szCs w:val="21"/>
              </w:rPr>
              <w:t>使学生掌握一定的英语基础知识和基本技能，对学生进行听、说、读、写基本技能训练</w:t>
            </w:r>
            <w:r>
              <w:rPr>
                <w:rFonts w:hint="eastAsia" w:ascii="宋体" w:hAnsi="宋体" w:cs="宋体"/>
                <w:sz w:val="21"/>
                <w:szCs w:val="21"/>
                <w:lang w:eastAsia="zh-CN"/>
              </w:rPr>
              <w:t>，</w:t>
            </w:r>
            <w:r>
              <w:rPr>
                <w:rFonts w:hint="eastAsia" w:ascii="宋体" w:hAnsi="宋体" w:eastAsia="宋体" w:cs="宋体"/>
                <w:sz w:val="21"/>
                <w:szCs w:val="21"/>
              </w:rPr>
              <w:t>初步运用英语进行交际的训练。通过本课程的学习，使学生能听懂英语简单对话和短文，能围绕日常话题进行初步交际，同时结合学前专业要求，渗透学前专业英语的学习，培养学生在日常生活和职业场景中的应用能力。</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信息技术</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依据《中等职业学校信息技术课程标准》开设，</w:t>
            </w:r>
            <w:r>
              <w:rPr>
                <w:rFonts w:hint="eastAsia" w:ascii="宋体" w:hAnsi="宋体" w:eastAsia="宋体" w:cs="宋体"/>
                <w:sz w:val="21"/>
                <w:szCs w:val="21"/>
              </w:rPr>
              <w:t>通过学习计算机及计算机基础知识、微机操作系统、文字处理软件、电子表格软件和演示文稿软件的基本知识及基本操作方法，进一步了解、掌握计算机应用的基础知识，具有计算机基本操作、办公应用、网络应用、多媒体技术应用等基本技能，初步具有利用计算机解决学习、工作、生活中常见问题的能力。掌握现代办公中的文字处理、表格设计、演示文稿、网上浏览、电子邮件通信等常用软件的使用方法。</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9</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体育与健康</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依据《中等职业学校体育与健康课程标准》开设，</w:t>
            </w:r>
            <w:r>
              <w:rPr>
                <w:rFonts w:hint="eastAsia" w:ascii="宋体" w:hAnsi="宋体" w:eastAsia="宋体" w:cs="宋体"/>
                <w:sz w:val="21"/>
                <w:szCs w:val="21"/>
              </w:rPr>
              <w:t>树立“健康第一”的指导思想，传授体育与健康的基本文化知识、体育技能和方法，使学生掌握体育与健康的基本文化知识和技能，学会科学锻炼身体的方法，养成终身从事体育锻炼的习惯。通过科学指导和安排体育锻炼过程，培养学生的健康人格，全面促进学生的身体健康和心理健康，提高应对挫折和适应社会的能力。</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历史</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依据《中等职业学校历史课程标准》开设，</w:t>
            </w:r>
            <w:r>
              <w:rPr>
                <w:rFonts w:hint="eastAsia" w:ascii="宋体" w:hAnsi="宋体" w:eastAsia="宋体" w:cs="宋体"/>
                <w:sz w:val="21"/>
                <w:szCs w:val="21"/>
              </w:rPr>
              <w:t>让学生了解中国国情，形成对祖国历史与文化的认同感，让学生正确看待家乡，了解祖国的自然条件、经济发展等方面的优势与不足，激发学生为建设家乡、建设祖国而贡献自己才智的自觉性和高度的社会责任感。</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30"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公共艺术</w:t>
            </w:r>
          </w:p>
        </w:tc>
        <w:tc>
          <w:tcPr>
            <w:tcW w:w="5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中等职业学校公共艺术课程标准（2020年版）》开设，全面落实社会主义核心价值观的基本内容和要求，并与专业实际相结合，引导学生主动的参与广泛的艺术学习和活动，了解或掌握不同艺术门类的基本知识、技能和原理，丰富审美体验，增强感性认识、发展艺术鉴赏能力，树立正确的审美观念，陶冶高尚的道德情操。</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bl>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公共选修课：1.畲族文化</w:t>
      </w:r>
    </w:p>
    <w:p>
      <w:pPr>
        <w:keepNext w:val="0"/>
        <w:keepLines w:val="0"/>
        <w:pageBreakBefore w:val="0"/>
        <w:widowControl w:val="0"/>
        <w:kinsoku/>
        <w:wordWrap/>
        <w:overflowPunct/>
        <w:topLinePunct w:val="0"/>
        <w:autoSpaceDE/>
        <w:autoSpaceDN/>
        <w:bidi w:val="0"/>
        <w:adjustRightInd/>
        <w:snapToGrid w:val="0"/>
        <w:ind w:firstLine="1440" w:firstLineChars="6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2.劳动教育</w:t>
      </w:r>
    </w:p>
    <w:p>
      <w:pPr>
        <w:keepNext w:val="0"/>
        <w:keepLines w:val="0"/>
        <w:pageBreakBefore w:val="0"/>
        <w:widowControl w:val="0"/>
        <w:kinsoku/>
        <w:wordWrap/>
        <w:overflowPunct/>
        <w:topLinePunct w:val="0"/>
        <w:autoSpaceDE/>
        <w:autoSpaceDN/>
        <w:bidi w:val="0"/>
        <w:adjustRightInd/>
        <w:snapToGrid w:val="0"/>
        <w:ind w:firstLine="1440" w:firstLineChars="600"/>
        <w:jc w:val="lef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3.职业素养</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24" w:name="_Toc10424"/>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sz w:val="28"/>
          <w:szCs w:val="28"/>
        </w:rPr>
        <w:t>）专业技能课程</w:t>
      </w:r>
      <w:bookmarkEnd w:id="24"/>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1.专业核心课</w:t>
      </w:r>
    </w:p>
    <w:tbl>
      <w:tblPr>
        <w:tblStyle w:val="25"/>
        <w:tblW w:w="933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36"/>
        <w:gridCol w:w="6336"/>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3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33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tc>
        <w:tc>
          <w:tcPr>
            <w:tcW w:w="7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68"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36"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学前儿童卫生与保健</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掌握学前儿童解剖生理特点、生长发育规律及健康评价；掌握学前儿童所需营养的相关知识，并了解托幼机构的膳食管理；熟悉学前儿童常见疾病及心理卫生问题的基础知识，掌握基本急救措施及教育对策；了解教育环境创设及教育过程中的卫生要求，熟悉幼儿园的卫生保健制度；提高幼儿卫生保健实操能力</w:t>
            </w:r>
            <w:r>
              <w:rPr>
                <w:rFonts w:hint="eastAsia" w:ascii="宋体" w:hAnsi="宋体" w:eastAsia="宋体" w:cs="宋体"/>
                <w:sz w:val="21"/>
                <w:szCs w:val="21"/>
                <w:lang w:eastAsia="zh-CN"/>
              </w:rPr>
              <w:t>。</w:t>
            </w:r>
          </w:p>
        </w:tc>
        <w:tc>
          <w:tcPr>
            <w:tcW w:w="798"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68"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36"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学前儿童</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发展心理</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掌握学前儿童认知、情绪和情感、社会化、个性和心理健康等方面发展规律和各年龄阶段发展的特征；了解儿童发展差异形成的原因，初步掌握了解幼儿心理的主要方法；指导幼儿学习的主要方式和特点；学会观察与解释幼儿的行为，能够正确判断、解释和说明有关心理现象和问题，解决一般的幼儿心理问题</w:t>
            </w:r>
            <w:r>
              <w:rPr>
                <w:rFonts w:hint="eastAsia" w:ascii="宋体" w:hAnsi="宋体" w:eastAsia="宋体" w:cs="宋体"/>
                <w:sz w:val="21"/>
                <w:szCs w:val="21"/>
                <w:lang w:eastAsia="zh-CN"/>
              </w:rPr>
              <w:t>。</w:t>
            </w:r>
          </w:p>
        </w:tc>
        <w:tc>
          <w:tcPr>
            <w:tcW w:w="798"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both"/>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68"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436"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学前教育</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基础知识</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掌握学前教育基础知识和幼儿教育的一般原理，了解幼儿体育、智育、德育、美育的内容，幼儿园教学、游戏、日常生活、幼小衔接等知识。能根据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学前教育发展对幼儿园教师的实际需要，学会从事幼教工作所需的教育教学技能，会正确运用幼儿园教育的基本方法与技能解释、解决常见的幼儿教育问题</w:t>
            </w:r>
            <w:r>
              <w:rPr>
                <w:rFonts w:hint="eastAsia" w:ascii="宋体" w:hAnsi="宋体" w:eastAsia="宋体" w:cs="宋体"/>
                <w:sz w:val="21"/>
                <w:szCs w:val="21"/>
                <w:lang w:eastAsia="zh-CN"/>
              </w:rPr>
              <w:t>。</w:t>
            </w:r>
          </w:p>
        </w:tc>
        <w:tc>
          <w:tcPr>
            <w:tcW w:w="798"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768" w:type="dxa"/>
            <w:shd w:val="clear" w:color="auto" w:fill="FFFFFF" w:themeFill="background1"/>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43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音乐素养</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 xml:space="preserve">   掌握正确的音准、节奏和基本的情感表达能力；能够识谱演唱</w:t>
            </w:r>
            <w:r>
              <w:rPr>
                <w:rFonts w:hint="eastAsia" w:ascii="宋体" w:hAnsi="宋体" w:eastAsia="宋体" w:cs="宋体"/>
                <w:sz w:val="21"/>
                <w:szCs w:val="21"/>
                <w:highlight w:val="none"/>
                <w:lang w:val="en-US" w:eastAsia="zh-CN"/>
              </w:rPr>
              <w:t>儿歌</w:t>
            </w:r>
            <w:r>
              <w:rPr>
                <w:rFonts w:hint="eastAsia" w:ascii="宋体" w:hAnsi="宋体" w:eastAsia="宋体" w:cs="宋体"/>
                <w:sz w:val="21"/>
                <w:szCs w:val="21"/>
                <w:highlight w:val="none"/>
              </w:rPr>
              <w:t>，能听辨和分析一般音乐作品的节拍、节奏、音程等要素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听赏中外名曲、幼儿音乐材料，能指导幼儿欣赏音乐的能力</w:t>
            </w:r>
            <w:r>
              <w:rPr>
                <w:rFonts w:hint="eastAsia" w:ascii="宋体" w:hAnsi="宋体" w:eastAsia="宋体" w:cs="宋体"/>
                <w:sz w:val="21"/>
                <w:szCs w:val="21"/>
                <w:highlight w:val="none"/>
              </w:rPr>
              <w:t>。发展音乐听觉和记忆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依托“听、唱、律动、作品赏析”提升综合音乐素养，</w:t>
            </w:r>
            <w:r>
              <w:rPr>
                <w:rFonts w:hint="eastAsia" w:ascii="宋体" w:hAnsi="宋体" w:eastAsia="宋体" w:cs="宋体"/>
                <w:sz w:val="21"/>
                <w:szCs w:val="21"/>
                <w:highlight w:val="none"/>
              </w:rPr>
              <w:t>积累音乐语言</w:t>
            </w:r>
            <w:r>
              <w:rPr>
                <w:rFonts w:hint="eastAsia" w:ascii="宋体" w:hAnsi="宋体" w:eastAsia="宋体" w:cs="宋体"/>
                <w:sz w:val="21"/>
                <w:szCs w:val="21"/>
                <w:highlight w:val="none"/>
                <w:lang w:eastAsia="zh-CN"/>
              </w:rPr>
              <w:t>。</w:t>
            </w:r>
          </w:p>
        </w:tc>
        <w:tc>
          <w:tcPr>
            <w:tcW w:w="798" w:type="dxa"/>
            <w:shd w:val="clear" w:color="auto" w:fill="FFFFFF" w:themeFill="background1"/>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36" w:type="dxa"/>
            <w:shd w:val="clear" w:color="auto" w:fill="FFFFFF" w:themeFill="background1"/>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声乐基础</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掌握声乐知识歌唱的技能技巧，能分析处理一般声乐作品，准确地表现歌曲的内涵与情感，有</w:t>
            </w:r>
            <w:r>
              <w:rPr>
                <w:rFonts w:hint="eastAsia" w:ascii="宋体" w:hAnsi="宋体" w:cs="宋体"/>
                <w:sz w:val="21"/>
                <w:szCs w:val="21"/>
                <w:lang w:eastAsia="zh-CN"/>
              </w:rPr>
              <w:t>表情的演唱</w:t>
            </w:r>
            <w:r>
              <w:rPr>
                <w:rFonts w:hint="eastAsia" w:ascii="宋体" w:hAnsi="宋体" w:eastAsia="宋体" w:cs="宋体"/>
                <w:sz w:val="21"/>
                <w:szCs w:val="21"/>
              </w:rPr>
              <w:t>不同风格的歌曲和幼儿歌曲，有一定的歌唱能；能手口协调地边弹边唱。</w:t>
            </w:r>
          </w:p>
        </w:tc>
        <w:tc>
          <w:tcPr>
            <w:tcW w:w="798" w:type="dxa"/>
            <w:shd w:val="clear" w:color="auto" w:fill="FFFFFF" w:themeFill="background1"/>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43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键盘</w:t>
            </w:r>
            <w:r>
              <w:rPr>
                <w:rFonts w:hint="eastAsia" w:ascii="宋体" w:hAnsi="宋体" w:eastAsia="宋体" w:cs="宋体"/>
                <w:sz w:val="21"/>
                <w:szCs w:val="21"/>
                <w:lang w:val="en-US" w:eastAsia="zh-CN"/>
              </w:rPr>
              <w:t>基础</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掌握键盘乐器演奏的基础知识和基本技能，能正确演奏不同内容、风格的键盘乐器简单作品，能完成幼儿歌曲简易伴奏的编配</w:t>
            </w:r>
          </w:p>
        </w:tc>
        <w:tc>
          <w:tcPr>
            <w:tcW w:w="798"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43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舞蹈</w:t>
            </w:r>
            <w:r>
              <w:rPr>
                <w:rFonts w:hint="eastAsia" w:ascii="宋体" w:hAnsi="宋体" w:eastAsia="宋体" w:cs="宋体"/>
                <w:sz w:val="21"/>
                <w:szCs w:val="21"/>
                <w:lang w:val="en-US" w:eastAsia="zh-CN"/>
              </w:rPr>
              <w:t>基础</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掌握我国几种主要民族舞蹈的基本</w:t>
            </w:r>
            <w:r>
              <w:rPr>
                <w:rFonts w:hint="eastAsia" w:ascii="宋体" w:hAnsi="宋体" w:cs="宋体"/>
                <w:sz w:val="21"/>
                <w:szCs w:val="21"/>
                <w:lang w:eastAsia="zh-CN"/>
              </w:rPr>
              <w:t>步法</w:t>
            </w:r>
            <w:r>
              <w:rPr>
                <w:rFonts w:hint="eastAsia" w:ascii="宋体" w:hAnsi="宋体" w:eastAsia="宋体" w:cs="宋体"/>
                <w:sz w:val="21"/>
                <w:szCs w:val="21"/>
              </w:rPr>
              <w:t>和组合动作、儿童舞的基本舞步和</w:t>
            </w:r>
            <w:r>
              <w:rPr>
                <w:rFonts w:hint="eastAsia" w:ascii="宋体" w:hAnsi="宋体" w:cs="宋体"/>
                <w:sz w:val="21"/>
                <w:szCs w:val="21"/>
                <w:lang w:eastAsia="zh-CN"/>
              </w:rPr>
              <w:t>组合</w:t>
            </w:r>
            <w:r>
              <w:rPr>
                <w:rFonts w:hint="eastAsia" w:ascii="宋体" w:hAnsi="宋体" w:eastAsia="宋体" w:cs="宋体"/>
                <w:sz w:val="21"/>
                <w:szCs w:val="21"/>
              </w:rPr>
              <w:t>动作、幼儿模仿动作、幼儿表演舞和音乐游戏；了解幼儿舞蹈的特点，能够初步编排与指导幼儿舞蹈</w:t>
            </w:r>
          </w:p>
        </w:tc>
        <w:tc>
          <w:tcPr>
            <w:tcW w:w="798"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6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43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绘画</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掌握图案、色彩、平面设计知识；能用基本绘画技能及简笔画，临摹，创作幼儿园活动需要的美术作品和教学简笔画；能够初步指导幼儿绘画的创作</w:t>
            </w:r>
          </w:p>
        </w:tc>
        <w:tc>
          <w:tcPr>
            <w:tcW w:w="798"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72</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560"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2.专业（技能）方向课——育婴员</w:t>
      </w:r>
    </w:p>
    <w:tbl>
      <w:tblPr>
        <w:tblStyle w:val="25"/>
        <w:tblW w:w="8721"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35"/>
        <w:gridCol w:w="54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课程名称</w:t>
            </w:r>
          </w:p>
        </w:tc>
        <w:tc>
          <w:tcPr>
            <w:tcW w:w="54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主要教学内容和要求</w:t>
            </w:r>
          </w:p>
        </w:tc>
        <w:tc>
          <w:tcPr>
            <w:tcW w:w="97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35"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幼儿照护</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了解</w:t>
            </w:r>
            <w:r>
              <w:rPr>
                <w:rFonts w:hint="eastAsia" w:ascii="宋体" w:hAnsi="宋体" w:eastAsia="宋体" w:cs="宋体"/>
                <w:sz w:val="21"/>
                <w:szCs w:val="21"/>
              </w:rPr>
              <w:t>０</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３岁婴幼儿生理发展特点，婴幼儿喂养照料，婴幼儿身体的清洁与护理，婴幼儿排便照料，婴幼儿睡眠照料，婴幼儿出行照料。 </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35"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0-3岁婴幼儿认知与情感培养</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婴幼儿教养环境的设计；婴幼儿语言能力训练与评价；婴幼儿认知能力训练与评价；情绪情感及社会性行为训练与评价。 </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35"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婴幼儿抚育与教育</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了解婴幼儿生理和心理发展特征。初步掌握0-3岁婴幼儿抚育和教育的有关知识与基本方法。掌握婴幼儿教养活动的方法与技能，能针对婴幼儿进行科学、合理的养育</w:t>
            </w:r>
            <w:r>
              <w:rPr>
                <w:rFonts w:hint="eastAsia" w:ascii="宋体" w:hAnsi="宋体" w:eastAsia="宋体" w:cs="宋体"/>
                <w:sz w:val="21"/>
                <w:szCs w:val="21"/>
                <w:lang w:eastAsia="zh-CN"/>
              </w:rPr>
              <w:t>。</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72</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56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8"/>
          <w:szCs w:val="28"/>
          <w:lang w:val="en-US" w:eastAsia="zh-CN"/>
        </w:rPr>
        <w:t>3.专业（技能）方向课——保育员</w:t>
      </w:r>
    </w:p>
    <w:tbl>
      <w:tblPr>
        <w:tblStyle w:val="25"/>
        <w:tblW w:w="8706"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80"/>
        <w:gridCol w:w="855"/>
        <w:gridCol w:w="54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1535" w:type="dxa"/>
            <w:gridSpan w:val="2"/>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课程名称</w:t>
            </w:r>
          </w:p>
        </w:tc>
        <w:tc>
          <w:tcPr>
            <w:tcW w:w="544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主要教学内容和要求</w:t>
            </w:r>
          </w:p>
        </w:tc>
        <w:tc>
          <w:tcPr>
            <w:tcW w:w="97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35" w:type="dxa"/>
            <w:gridSpan w:val="2"/>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手工</w:t>
            </w:r>
          </w:p>
        </w:tc>
        <w:tc>
          <w:tcPr>
            <w:tcW w:w="544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学会折纸、剪纸、泥工等各类手工技法，能根据幼儿园环境创设、教学活动的要求，开展各类手工制作及简单玩教具的制作，能教会幼儿掌握一些基本的手工技能</w:t>
            </w:r>
          </w:p>
        </w:tc>
        <w:tc>
          <w:tcPr>
            <w:tcW w:w="979"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35" w:type="dxa"/>
            <w:gridSpan w:val="2"/>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幼儿园游戏</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了解幼儿游戏的基本理论；能够创设幼儿游戏环境、组织游戏、进行观察与评价，能对多种幼儿游戏进行分类指导；能根据幼儿园活动区的需求，及时投放玩具和活动材料</w:t>
            </w:r>
          </w:p>
        </w:tc>
        <w:tc>
          <w:tcPr>
            <w:tcW w:w="979"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0"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幼儿园活动</w:t>
            </w:r>
          </w:p>
        </w:tc>
        <w:tc>
          <w:tcPr>
            <w:tcW w:w="85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语言</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了解幼儿语言发展的特点，掌握幼儿园语言领域活动目标及主要内容，能根据幼儿语言活动的形式、特点，正确运用组织方法，设计并实施各年龄段语言领域教育活动。能够对幼儿语言教育活动实施进行评价</w:t>
            </w:r>
          </w:p>
        </w:tc>
        <w:tc>
          <w:tcPr>
            <w:tcW w:w="979" w:type="dxa"/>
            <w:vMerge w:val="restart"/>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52"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6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健康</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了解幼儿健康发展的特点，掌握幼儿园健康领域活动的目标及主要内容，能够设计并实施各年龄段健康领域教学活动方案；并能对体育课、早操活动、户外体育活动实施指导</w:t>
            </w:r>
          </w:p>
        </w:tc>
        <w:tc>
          <w:tcPr>
            <w:tcW w:w="979"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52"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6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科学</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科学（数学）发展的特点，掌握幼儿园科学领域活动的目标和主要内容，能根据幼儿科学教育活动的组织方法、形式和特点设计幼儿园科学活动领域的教育活动方案，并能够组织实施科学小实验，数概念认识活动</w:t>
            </w:r>
          </w:p>
        </w:tc>
        <w:tc>
          <w:tcPr>
            <w:tcW w:w="979"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52"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6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艺术</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音乐、美术发展的特点，掌握幼儿园艺术领域活动的目标和主要内容，能根据幼儿艺术活动的组织方法、形式和特点设计幼儿园音乐、美术教育活动方案，并能够实施歌唱活动、韵律活动、绘画活动、手工制作活动、欣赏活动的组织过程；并初步常识评价幼儿的美术作品</w:t>
            </w:r>
          </w:p>
        </w:tc>
        <w:tc>
          <w:tcPr>
            <w:tcW w:w="979"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52"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680"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社会</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了解幼儿社会认知发展的特点，掌握幼儿园社会领域活动的目标和主要内容，能根据幼儿社会活动的组织方法、形式和特点设计、实施幼儿园社会领域活动方案，并尝试实施认识自我、认识社会环境的组织过程</w:t>
            </w:r>
          </w:p>
        </w:tc>
        <w:tc>
          <w:tcPr>
            <w:tcW w:w="979" w:type="dxa"/>
            <w:vMerge w:val="continue"/>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35" w:type="dxa"/>
            <w:gridSpan w:val="2"/>
            <w:vAlign w:val="center"/>
          </w:tcPr>
          <w:p>
            <w:pPr>
              <w:keepNext w:val="0"/>
              <w:keepLines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幼儿园保育</w:t>
            </w:r>
          </w:p>
        </w:tc>
        <w:tc>
          <w:tcPr>
            <w:tcW w:w="5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掌握幼儿园保育工作流程、内容及规范要求，能完成一日活动中的保育工作，在理解保教结合的原则和基础上，配合教育活动进行健康指导，为幼儿健康成长服务</w:t>
            </w:r>
            <w:r>
              <w:rPr>
                <w:rFonts w:hint="eastAsia" w:ascii="宋体" w:hAnsi="宋体" w:eastAsia="宋体" w:cs="宋体"/>
                <w:sz w:val="21"/>
                <w:szCs w:val="21"/>
                <w:lang w:eastAsia="zh-CN"/>
              </w:rPr>
              <w:t>。</w:t>
            </w:r>
          </w:p>
        </w:tc>
        <w:tc>
          <w:tcPr>
            <w:tcW w:w="979" w:type="dxa"/>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r>
    </w:tbl>
    <w:p>
      <w:pPr>
        <w:keepNext w:val="0"/>
        <w:keepLines w:val="0"/>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专业选修课：1.蒙台梭利教育</w:t>
      </w:r>
    </w:p>
    <w:p>
      <w:pPr>
        <w:keepNext w:val="0"/>
        <w:keepLines w:val="0"/>
        <w:suppressLineNumbers w:val="0"/>
        <w:spacing w:before="0" w:beforeAutospacing="0" w:after="0" w:afterAutospacing="0"/>
        <w:ind w:left="0" w:right="0" w:firstLine="1440" w:firstLineChars="6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2.幼儿教师口语</w:t>
      </w:r>
    </w:p>
    <w:p>
      <w:pPr>
        <w:keepNext w:val="0"/>
        <w:keepLines w:val="0"/>
        <w:suppressLineNumbers w:val="0"/>
        <w:spacing w:before="0" w:beforeAutospacing="0" w:after="0" w:afterAutospacing="0"/>
        <w:ind w:left="0" w:right="0" w:firstLine="1440" w:firstLineChars="6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3.幼儿文学阅读与指导</w:t>
      </w:r>
    </w:p>
    <w:p>
      <w:pPr>
        <w:keepNext w:val="0"/>
        <w:keepLines w:val="0"/>
        <w:pageBreakBefore w:val="0"/>
        <w:widowControl/>
        <w:kinsoku/>
        <w:wordWrap w:val="0"/>
        <w:overflowPunct/>
        <w:topLinePunct w:val="0"/>
        <w:autoSpaceDE/>
        <w:autoSpaceDN/>
        <w:bidi w:val="0"/>
        <w:adjustRightInd/>
        <w:snapToGrid w:val="0"/>
        <w:spacing w:line="315" w:lineRule="atLeast"/>
        <w:ind w:firstLine="560" w:firstLineChars="200"/>
        <w:textAlignment w:val="auto"/>
        <w:outlineLvl w:val="1"/>
        <w:rPr>
          <w:rFonts w:hint="eastAsia" w:ascii="楷体_GB2312" w:hAnsi="楷体_GB2312" w:eastAsia="楷体_GB2312" w:cs="楷体_GB2312"/>
          <w:sz w:val="28"/>
          <w:szCs w:val="28"/>
        </w:rPr>
      </w:pPr>
      <w:bookmarkStart w:id="25" w:name="_Toc138"/>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lang w:val="en-US" w:eastAsia="zh-CN"/>
        </w:rPr>
        <w:t>四</w:t>
      </w:r>
      <w:r>
        <w:rPr>
          <w:rFonts w:hint="eastAsia" w:ascii="楷体_GB2312" w:hAnsi="楷体_GB2312" w:eastAsia="楷体_GB2312" w:cs="楷体_GB2312"/>
          <w:b/>
          <w:bCs/>
          <w:sz w:val="28"/>
          <w:szCs w:val="28"/>
        </w:rPr>
        <w:t>）实践教学环节</w:t>
      </w:r>
      <w:bookmarkEnd w:id="25"/>
    </w:p>
    <w:tbl>
      <w:tblPr>
        <w:tblStyle w:val="25"/>
        <w:tblW w:w="8720" w:type="dxa"/>
        <w:jc w:val="center"/>
        <w:tblLayout w:type="fixed"/>
        <w:tblCellMar>
          <w:top w:w="0" w:type="dxa"/>
          <w:left w:w="0" w:type="dxa"/>
          <w:bottom w:w="0" w:type="dxa"/>
          <w:right w:w="0" w:type="dxa"/>
        </w:tblCellMar>
      </w:tblPr>
      <w:tblGrid>
        <w:gridCol w:w="1399"/>
        <w:gridCol w:w="1020"/>
        <w:gridCol w:w="4352"/>
        <w:gridCol w:w="1949"/>
      </w:tblGrid>
      <w:tr>
        <w:tblPrEx>
          <w:tblCellMar>
            <w:top w:w="0" w:type="dxa"/>
            <w:left w:w="0" w:type="dxa"/>
            <w:bottom w:w="0" w:type="dxa"/>
            <w:right w:w="0" w:type="dxa"/>
          </w:tblCellMar>
        </w:tblPrEx>
        <w:trPr>
          <w:trHeight w:val="473" w:hRule="atLeast"/>
          <w:jc w:val="center"/>
        </w:trPr>
        <w:tc>
          <w:tcPr>
            <w:tcW w:w="139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5372" w:type="dxa"/>
            <w:gridSpan w:val="2"/>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主要教学内容与要求</w:t>
            </w:r>
          </w:p>
        </w:tc>
        <w:tc>
          <w:tcPr>
            <w:tcW w:w="194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教学建议</w:t>
            </w:r>
          </w:p>
        </w:tc>
      </w:tr>
      <w:tr>
        <w:tblPrEx>
          <w:tblCellMar>
            <w:top w:w="0" w:type="dxa"/>
            <w:left w:w="0" w:type="dxa"/>
            <w:bottom w:w="0" w:type="dxa"/>
            <w:right w:w="0" w:type="dxa"/>
          </w:tblCellMar>
        </w:tblPrEx>
        <w:trPr>
          <w:trHeight w:val="3247" w:hRule="atLeast"/>
          <w:jc w:val="center"/>
        </w:trPr>
        <w:tc>
          <w:tcPr>
            <w:tcW w:w="1399" w:type="dxa"/>
            <w:vMerge w:val="restar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综合</w:t>
            </w:r>
            <w:r>
              <w:rPr>
                <w:rFonts w:hint="eastAsia" w:ascii="宋体" w:hAnsi="宋体" w:eastAsia="宋体" w:cs="宋体"/>
                <w:b/>
                <w:bCs/>
                <w:sz w:val="21"/>
                <w:szCs w:val="21"/>
              </w:rPr>
              <w:t>实训</w:t>
            </w:r>
          </w:p>
        </w:tc>
        <w:tc>
          <w:tcPr>
            <w:tcW w:w="10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训</w:t>
            </w:r>
          </w:p>
        </w:tc>
        <w:tc>
          <w:tcPr>
            <w:tcW w:w="43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1．了解幼儿园环境、幼儿教育特点，培养良好的职业道德和敬业精神；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2．了解幼儿园一日活动内容，了解保育员的岗位职责，观察学习幼儿园保健工作方法</w:t>
            </w:r>
            <w:r>
              <w:rPr>
                <w:rFonts w:hint="eastAsia" w:ascii="宋体" w:hAnsi="宋体" w:cs="宋体"/>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3．正确理解“保教结合”的教育原则</w:t>
            </w:r>
            <w:r>
              <w:rPr>
                <w:rFonts w:hint="eastAsia" w:ascii="宋体" w:hAnsi="宋体" w:cs="宋体"/>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4．掌握幼儿园常见的疾病、传染病的症状、预防、隔离、护理等方法和措施，培养幼儿良好的生活卫生习惯。</w:t>
            </w:r>
          </w:p>
        </w:tc>
        <w:tc>
          <w:tcPr>
            <w:tcW w:w="1949" w:type="dxa"/>
            <w:vMerge w:val="restart"/>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 </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 xml:space="preserve">    按工作过程，以项目实训形式开展教学，结合相应的职业资格标准要求进行教学，指导学生获取相应职业资格证书。</w:t>
            </w:r>
          </w:p>
        </w:tc>
      </w:tr>
      <w:tr>
        <w:tblPrEx>
          <w:tblCellMar>
            <w:top w:w="0" w:type="dxa"/>
            <w:left w:w="0" w:type="dxa"/>
            <w:bottom w:w="0" w:type="dxa"/>
            <w:right w:w="0" w:type="dxa"/>
          </w:tblCellMar>
        </w:tblPrEx>
        <w:trPr>
          <w:trHeight w:val="1548" w:hRule="atLeast"/>
          <w:jc w:val="center"/>
        </w:trPr>
        <w:tc>
          <w:tcPr>
            <w:tcW w:w="1399" w:type="dxa"/>
            <w:vMerge w:val="continue"/>
            <w:tcBorders>
              <w:top w:val="nil"/>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p>
        </w:tc>
        <w:tc>
          <w:tcPr>
            <w:tcW w:w="102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训</w:t>
            </w:r>
          </w:p>
        </w:tc>
        <w:tc>
          <w:tcPr>
            <w:tcW w:w="435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1．了解幼儿的年龄特点和学习方式，体验学习幼儿园常规教育的内容与方法；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2．了解幼儿园课程模式、课程组织实施方法，学会设计与组织幼儿活动；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3．观察学习幼儿园游戏活动、节庆活动的组织方法，学会设计与组织游戏活动、节庆活动；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4．学习制定幼儿园教育、教学活动计划；学习写作教案、教育笔记、反思；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5．观察学习幼儿园玩具、教具制作方法，学会创设幼儿园教育环境；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6．正确理解学前教育理论，科学评价幼儿园教育教学活动。</w:t>
            </w:r>
          </w:p>
        </w:tc>
        <w:tc>
          <w:tcPr>
            <w:tcW w:w="1949" w:type="dxa"/>
            <w:vMerge w:val="continue"/>
            <w:tcBorders>
              <w:top w:val="nil"/>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r>
      <w:tr>
        <w:tblPrEx>
          <w:tblCellMar>
            <w:top w:w="0" w:type="dxa"/>
            <w:left w:w="0" w:type="dxa"/>
            <w:bottom w:w="0" w:type="dxa"/>
            <w:right w:w="0" w:type="dxa"/>
          </w:tblCellMar>
        </w:tblPrEx>
        <w:trPr>
          <w:trHeight w:val="1760" w:hRule="atLeast"/>
          <w:jc w:val="center"/>
        </w:trPr>
        <w:tc>
          <w:tcPr>
            <w:tcW w:w="1399"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顶岗实习</w:t>
            </w:r>
          </w:p>
        </w:tc>
        <w:tc>
          <w:tcPr>
            <w:tcW w:w="5372"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通过顶岗实习，是学生更好地将理论与实践相结合，全面巩固、锻炼实践操作技能，为就业打下坚实基础。顶岗实习的主要任务是让学生熟悉</w:t>
            </w:r>
            <w:r>
              <w:rPr>
                <w:rFonts w:hint="eastAsia" w:ascii="宋体" w:hAnsi="宋体" w:eastAsia="宋体" w:cs="宋体"/>
                <w:sz w:val="21"/>
                <w:szCs w:val="21"/>
                <w:lang w:val="en-US" w:eastAsia="zh-CN"/>
              </w:rPr>
              <w:t>幼儿园保教</w:t>
            </w:r>
            <w:r>
              <w:rPr>
                <w:rFonts w:hint="eastAsia" w:ascii="宋体" w:hAnsi="宋体" w:eastAsia="宋体" w:cs="宋体"/>
                <w:sz w:val="21"/>
                <w:szCs w:val="21"/>
              </w:rPr>
              <w:t>工作的性质和职责，进一步掌握保教工作的基本内容和特点；通过实习幼儿教师的全部工作，培养学生组织幼儿园一日活动及幼儿游戏活动的能力，学习幼儿园</w:t>
            </w:r>
            <w:r>
              <w:rPr>
                <w:rFonts w:hint="eastAsia" w:ascii="宋体" w:hAnsi="宋体" w:eastAsia="宋体" w:cs="宋体"/>
                <w:sz w:val="21"/>
                <w:szCs w:val="21"/>
                <w:lang w:val="en-US" w:eastAsia="zh-CN"/>
              </w:rPr>
              <w:t>保育员</w:t>
            </w:r>
            <w:r>
              <w:rPr>
                <w:rFonts w:hint="eastAsia" w:ascii="宋体" w:hAnsi="宋体" w:eastAsia="宋体" w:cs="宋体"/>
                <w:sz w:val="21"/>
                <w:szCs w:val="21"/>
              </w:rPr>
              <w:t>的优秀品质和敬业</w:t>
            </w:r>
            <w:r>
              <w:rPr>
                <w:rFonts w:hint="eastAsia" w:ascii="宋体" w:hAnsi="宋体" w:eastAsia="宋体" w:cs="宋体"/>
                <w:sz w:val="21"/>
                <w:szCs w:val="21"/>
                <w:lang w:val="en-US" w:eastAsia="zh-CN"/>
              </w:rPr>
              <w:t>精神</w:t>
            </w:r>
            <w:r>
              <w:rPr>
                <w:rFonts w:hint="eastAsia" w:ascii="宋体" w:hAnsi="宋体" w:eastAsia="宋体" w:cs="宋体"/>
                <w:sz w:val="21"/>
                <w:szCs w:val="21"/>
              </w:rPr>
              <w:t>，增强适应岗位的能力。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sz w:val="21"/>
                <w:szCs w:val="21"/>
              </w:rPr>
            </w:pPr>
          </w:p>
        </w:tc>
        <w:tc>
          <w:tcPr>
            <w:tcW w:w="1949" w:type="dxa"/>
            <w:vMerge w:val="continue"/>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r>
    </w:tbl>
    <w:p>
      <w:pPr>
        <w:numPr>
          <w:ilvl w:val="0"/>
          <w:numId w:val="0"/>
        </w:numPr>
        <w:spacing w:line="240" w:lineRule="auto"/>
        <w:rPr>
          <w:rFonts w:hint="eastAsia"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sz w:val="32"/>
          <w:szCs w:val="32"/>
        </w:rPr>
      </w:pPr>
      <w:bookmarkStart w:id="26" w:name="_Toc14550"/>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教学进程总体安排</w:t>
      </w:r>
      <w:bookmarkEnd w:id="26"/>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幼儿保育专业教学计划</w:t>
      </w:r>
    </w:p>
    <w:tbl>
      <w:tblPr>
        <w:tblStyle w:val="2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2"/>
        <w:gridCol w:w="578"/>
        <w:gridCol w:w="1674"/>
        <w:gridCol w:w="703"/>
        <w:gridCol w:w="703"/>
        <w:gridCol w:w="703"/>
        <w:gridCol w:w="626"/>
        <w:gridCol w:w="703"/>
        <w:gridCol w:w="703"/>
        <w:gridCol w:w="703"/>
        <w:gridCol w:w="703"/>
        <w:gridCol w:w="70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0" w:type="dxa"/>
            <w:gridSpan w:val="2"/>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1674"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理论学时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实践学时</w:t>
            </w:r>
          </w:p>
        </w:tc>
        <w:tc>
          <w:tcPr>
            <w:tcW w:w="626"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w:t>
            </w:r>
          </w:p>
        </w:tc>
        <w:tc>
          <w:tcPr>
            <w:tcW w:w="4257" w:type="dxa"/>
            <w:gridSpan w:val="6"/>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1290" w:type="dxa"/>
            <w:gridSpan w:val="2"/>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8" w:hRule="atLeast"/>
          <w:jc w:val="center"/>
        </w:trPr>
        <w:tc>
          <w:tcPr>
            <w:tcW w:w="1290" w:type="dxa"/>
            <w:gridSpan w:val="2"/>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顶岗</w:t>
            </w:r>
            <w:r>
              <w:rPr>
                <w:rFonts w:hint="eastAsia" w:ascii="宋体" w:hAnsi="宋体" w:eastAsia="宋体" w:cs="宋体"/>
                <w:b/>
                <w:bCs/>
                <w:i w:val="0"/>
                <w:iCs w:val="0"/>
                <w:color w:val="000000"/>
                <w:kern w:val="0"/>
                <w:sz w:val="22"/>
                <w:szCs w:val="22"/>
                <w:u w:val="none"/>
                <w:lang w:val="en-US" w:eastAsia="zh-CN" w:bidi="ar"/>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9" w:hRule="atLeast"/>
          <w:jc w:val="center"/>
        </w:trPr>
        <w:tc>
          <w:tcPr>
            <w:tcW w:w="712"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共</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础</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w:t>
            </w:r>
          </w:p>
        </w:tc>
        <w:tc>
          <w:tcPr>
            <w:tcW w:w="57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必修课、限定选修</w:t>
            </w: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9"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心理健康与职业生涯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哲学与人生</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9"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职业道德与法治</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体育与健康</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公共艺术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选修课</w:t>
            </w:r>
          </w:p>
        </w:tc>
        <w:tc>
          <w:tcPr>
            <w:tcW w:w="1674"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畲族文化</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74"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职业素养</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964" w:type="dxa"/>
            <w:gridSpan w:val="3"/>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公共基础课小计</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bl>
    <w:tbl>
      <w:tblPr>
        <w:tblStyle w:val="25"/>
        <w:tblpPr w:leftFromText="180" w:rightFromText="180" w:vertAnchor="text" w:horzAnchor="page" w:tblpX="1174" w:tblpY="71"/>
        <w:tblOverlap w:val="never"/>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571"/>
        <w:gridCol w:w="14"/>
        <w:gridCol w:w="1674"/>
        <w:gridCol w:w="703"/>
        <w:gridCol w:w="703"/>
        <w:gridCol w:w="703"/>
        <w:gridCol w:w="626"/>
        <w:gridCol w:w="703"/>
        <w:gridCol w:w="703"/>
        <w:gridCol w:w="703"/>
        <w:gridCol w:w="703"/>
        <w:gridCol w:w="70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1290" w:type="dxa"/>
            <w:gridSpan w:val="3"/>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1674"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理论学时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实践学时</w:t>
            </w:r>
          </w:p>
        </w:tc>
        <w:tc>
          <w:tcPr>
            <w:tcW w:w="626"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w:t>
            </w:r>
          </w:p>
        </w:tc>
        <w:tc>
          <w:tcPr>
            <w:tcW w:w="4257" w:type="dxa"/>
            <w:gridSpan w:val="6"/>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1290" w:type="dxa"/>
            <w:gridSpan w:val="3"/>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5" w:hRule="atLeast"/>
        </w:trPr>
        <w:tc>
          <w:tcPr>
            <w:tcW w:w="1290" w:type="dxa"/>
            <w:gridSpan w:val="3"/>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课堂教学18周（考试1周、机动1周）</w:t>
            </w:r>
          </w:p>
        </w:tc>
        <w:tc>
          <w:tcPr>
            <w:tcW w:w="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顶岗</w:t>
            </w:r>
            <w:r>
              <w:rPr>
                <w:rFonts w:hint="eastAsia" w:ascii="宋体" w:hAnsi="宋体" w:eastAsia="宋体" w:cs="宋体"/>
                <w:b/>
                <w:bCs/>
                <w:i w:val="0"/>
                <w:iCs w:val="0"/>
                <w:color w:val="000000"/>
                <w:kern w:val="0"/>
                <w:sz w:val="22"/>
                <w:szCs w:val="22"/>
                <w:u w:val="none"/>
                <w:lang w:val="en-US" w:eastAsia="zh-CN" w:bidi="ar"/>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专业技能课</w:t>
            </w:r>
          </w:p>
        </w:tc>
        <w:tc>
          <w:tcPr>
            <w:tcW w:w="571"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w:t>
            </w: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学前儿童</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卫生保健</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学前儿童</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发展心理</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学前教育</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基础知识</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音乐素养</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声乐基础</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键盘基础</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舞蹈基础</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绘画</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育婴员方向课</w:t>
            </w: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幼儿照护</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０—３岁婴幼儿认知与情感培育</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婴幼儿教育</w:t>
            </w: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与抚育</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保育员方向课</w:t>
            </w: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幼儿园游戏</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幼儿园活动</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幼儿园保育</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选修课</w:t>
            </w: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蒙台梭利教育</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幼儿教师口语</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571"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1688" w:type="dxa"/>
            <w:gridSpan w:val="2"/>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幼儿文学阅读与指导</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2964" w:type="dxa"/>
            <w:gridSpan w:val="4"/>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专业技能课小计</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实践教学环节</w:t>
            </w:r>
          </w:p>
        </w:tc>
        <w:tc>
          <w:tcPr>
            <w:tcW w:w="2259" w:type="dxa"/>
            <w:gridSpan w:val="3"/>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幼儿园保育实训</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6"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259" w:type="dxa"/>
            <w:gridSpan w:val="3"/>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幼儿园综合实训</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6"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4周</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259" w:type="dxa"/>
            <w:gridSpan w:val="3"/>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顶岗实习</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626"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2964" w:type="dxa"/>
            <w:gridSpan w:val="4"/>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实践教学环节小计</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626"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2964" w:type="dxa"/>
            <w:gridSpan w:val="4"/>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3108</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703"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626"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42"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bl>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sz w:val="24"/>
          <w:szCs w:val="24"/>
        </w:rPr>
        <w:t>各课程比例如下：</w:t>
      </w:r>
    </w:p>
    <w:tbl>
      <w:tblPr>
        <w:tblStyle w:val="25"/>
        <w:tblpPr w:leftFromText="180" w:rightFromText="180" w:vertAnchor="text" w:horzAnchor="page" w:tblpX="2215" w:tblpY="30"/>
        <w:tblOverlap w:val="never"/>
        <w:tblW w:w="6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451"/>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公共基础课程</w:t>
            </w:r>
          </w:p>
        </w:tc>
        <w:tc>
          <w:tcPr>
            <w:tcW w:w="24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专业（技能）课程</w:t>
            </w:r>
          </w:p>
        </w:tc>
        <w:tc>
          <w:tcPr>
            <w:tcW w:w="2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实践教学环节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2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5.9</w:t>
            </w:r>
            <w:r>
              <w:rPr>
                <w:rFonts w:hint="eastAsia" w:ascii="宋体" w:hAnsi="宋体" w:eastAsia="宋体" w:cs="宋体"/>
                <w:sz w:val="24"/>
                <w:szCs w:val="24"/>
              </w:rPr>
              <w:t>%</w:t>
            </w:r>
          </w:p>
        </w:tc>
        <w:tc>
          <w:tcPr>
            <w:tcW w:w="24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5.1</w:t>
            </w:r>
            <w:r>
              <w:rPr>
                <w:rFonts w:hint="eastAsia" w:ascii="宋体" w:hAnsi="宋体" w:eastAsia="宋体" w:cs="宋体"/>
                <w:sz w:val="24"/>
                <w:szCs w:val="24"/>
              </w:rPr>
              <w:t>%</w:t>
            </w:r>
          </w:p>
        </w:tc>
        <w:tc>
          <w:tcPr>
            <w:tcW w:w="2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w:t>
            </w:r>
          </w:p>
        </w:tc>
      </w:tr>
    </w:tbl>
    <w:p>
      <w:pPr>
        <w:spacing w:line="520" w:lineRule="exact"/>
        <w:rPr>
          <w:rFonts w:hint="eastAsia" w:ascii="宋体" w:hAnsi="宋体" w:eastAsia="宋体" w:cs="宋体"/>
          <w:sz w:val="24"/>
          <w:szCs w:val="24"/>
        </w:rPr>
      </w:pPr>
    </w:p>
    <w:p>
      <w:pPr>
        <w:numPr>
          <w:ilvl w:val="0"/>
          <w:numId w:val="0"/>
        </w:numPr>
        <w:spacing w:line="240" w:lineRule="auto"/>
        <w:outlineLvl w:val="9"/>
        <w:rPr>
          <w:rFonts w:hint="eastAsia" w:ascii="宋体" w:hAnsi="宋体" w:eastAsia="宋体" w:cs="宋体"/>
          <w:b/>
          <w:bCs/>
          <w:sz w:val="24"/>
          <w:szCs w:val="24"/>
        </w:rPr>
      </w:pPr>
    </w:p>
    <w:p>
      <w:pPr>
        <w:numPr>
          <w:ilvl w:val="0"/>
          <w:numId w:val="0"/>
        </w:numPr>
        <w:spacing w:line="240" w:lineRule="auto"/>
        <w:outlineLvl w:val="9"/>
        <w:rPr>
          <w:rFonts w:hint="eastAsia" w:ascii="宋体" w:hAnsi="宋体" w:eastAsia="宋体" w:cs="宋体"/>
          <w:b/>
          <w:bCs/>
          <w:sz w:val="24"/>
          <w:szCs w:val="24"/>
        </w:rPr>
      </w:pPr>
    </w:p>
    <w:p>
      <w:pPr>
        <w:numPr>
          <w:ilvl w:val="0"/>
          <w:numId w:val="0"/>
        </w:numPr>
        <w:spacing w:line="240" w:lineRule="auto"/>
        <w:ind w:firstLine="480" w:firstLineChars="200"/>
        <w:rPr>
          <w:rFonts w:hint="eastAsia" w:ascii="宋体" w:hAnsi="宋体" w:eastAsia="宋体" w:cs="宋体"/>
          <w:kern w:val="2"/>
          <w:sz w:val="24"/>
          <w:szCs w:val="24"/>
          <w:lang w:val="en-US" w:eastAsia="zh-CN" w:bidi="ar"/>
        </w:rPr>
      </w:pPr>
    </w:p>
    <w:p>
      <w:pPr>
        <w:numPr>
          <w:ilvl w:val="0"/>
          <w:numId w:val="0"/>
        </w:numPr>
        <w:spacing w:line="240" w:lineRule="auto"/>
        <w:ind w:firstLine="480" w:firstLineChars="200"/>
        <w:rPr>
          <w:rFonts w:hint="eastAsia" w:ascii="宋体" w:hAnsi="宋体" w:eastAsia="宋体" w:cs="宋体"/>
          <w:kern w:val="2"/>
          <w:sz w:val="24"/>
          <w:szCs w:val="24"/>
          <w:lang w:val="en-US" w:eastAsia="zh-CN" w:bidi="ar"/>
        </w:rPr>
      </w:pPr>
    </w:p>
    <w:p>
      <w:pPr>
        <w:numPr>
          <w:ilvl w:val="0"/>
          <w:numId w:val="0"/>
        </w:numPr>
        <w:spacing w:line="240" w:lineRule="auto"/>
        <w:ind w:firstLine="480" w:firstLineChars="200"/>
        <w:rPr>
          <w:rFonts w:hint="eastAsia" w:ascii="宋体" w:hAnsi="宋体" w:eastAsia="宋体" w:cs="宋体"/>
          <w:kern w:val="2"/>
          <w:sz w:val="24"/>
          <w:szCs w:val="24"/>
          <w:lang w:val="en-US" w:eastAsia="zh-CN" w:bidi="ar"/>
        </w:rPr>
      </w:pPr>
    </w:p>
    <w:p>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b w:val="0"/>
          <w:bCs w:val="0"/>
          <w:kern w:val="2"/>
          <w:sz w:val="32"/>
          <w:szCs w:val="32"/>
          <w:lang w:val="en-US" w:eastAsia="zh-CN" w:bidi="ar"/>
        </w:rPr>
      </w:pPr>
      <w:bookmarkStart w:id="27" w:name="_Toc3292"/>
      <w:r>
        <w:rPr>
          <w:rFonts w:hint="eastAsia" w:ascii="黑体" w:hAnsi="黑体" w:eastAsia="黑体" w:cs="黑体"/>
          <w:b w:val="0"/>
          <w:bCs w:val="0"/>
          <w:sz w:val="32"/>
          <w:szCs w:val="32"/>
        </w:rPr>
        <w:t>实施保障</w:t>
      </w:r>
      <w:bookmarkEnd w:id="27"/>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bidi="ar"/>
        </w:rPr>
        <w:t>主要包括师资队伍、教学设施、教学资源、教学方法、学习评价、质量管理等方面。</w:t>
      </w:r>
      <w:r>
        <w:rPr>
          <w:rFonts w:hint="eastAsia" w:ascii="宋体" w:hAnsi="宋体" w:eastAsia="宋体" w:cs="宋体"/>
          <w:b/>
          <w:bCs/>
          <w:sz w:val="24"/>
          <w:szCs w:val="24"/>
        </w:rPr>
        <w:t xml:space="preserve"> </w:t>
      </w:r>
      <w:bookmarkStart w:id="28" w:name="_Toc9590"/>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（一）师资队伍</w:t>
      </w:r>
      <w:bookmarkEnd w:id="28"/>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560" w:firstLineChars="200"/>
        <w:jc w:val="both"/>
        <w:textAlignment w:val="auto"/>
        <w:outlineLvl w:val="2"/>
        <w:rPr>
          <w:rFonts w:hint="eastAsia" w:ascii="宋体" w:hAnsi="宋体" w:eastAsia="宋体" w:cs="宋体"/>
          <w:b/>
          <w:bCs/>
          <w:color w:val="auto"/>
          <w:kern w:val="2"/>
          <w:sz w:val="28"/>
          <w:szCs w:val="28"/>
          <w:lang w:val="en-US" w:eastAsia="zh-CN" w:bidi="ar"/>
        </w:rPr>
      </w:pPr>
      <w:r>
        <w:rPr>
          <w:rFonts w:hint="eastAsia" w:ascii="宋体" w:hAnsi="宋体" w:eastAsia="宋体" w:cs="宋体"/>
          <w:b/>
          <w:bCs/>
          <w:kern w:val="2"/>
          <w:sz w:val="28"/>
          <w:szCs w:val="28"/>
          <w:lang w:val="en-US" w:eastAsia="zh-CN" w:bidi="ar"/>
        </w:rPr>
        <w:t>1.团队结</w:t>
      </w:r>
      <w:r>
        <w:rPr>
          <w:rFonts w:hint="eastAsia" w:ascii="宋体" w:hAnsi="宋体" w:eastAsia="宋体" w:cs="宋体"/>
          <w:b/>
          <w:bCs/>
          <w:color w:val="auto"/>
          <w:kern w:val="2"/>
          <w:sz w:val="28"/>
          <w:szCs w:val="28"/>
          <w:lang w:val="en-US" w:eastAsia="zh-CN" w:bidi="ar"/>
        </w:rPr>
        <w:t>构科学合理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本专业专任专业教师与在籍学生之比为 1:25；省优秀教师、省职业院校专业带头人、名师培养人1人；专任专业教师具有教育类或艺术类专业本科及以上学历；研究生学历占 5%；高级职称达 35%及以上；具有中级及以上相关专业技术职务或职业资格的占 76%及；“双师型”教师占专业教师总数的 47%及以上，符合省教育厅办公室公布的《中等职业学校“双师型”教师非教师系列专业技术证书目录</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试行</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560" w:firstLineChars="200"/>
        <w:jc w:val="both"/>
        <w:textAlignment w:val="auto"/>
        <w:outlineLvl w:val="2"/>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2.师德师风建设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color w:val="auto"/>
          <w:kern w:val="2"/>
          <w:sz w:val="24"/>
          <w:szCs w:val="24"/>
          <w:lang w:val="en-US" w:eastAsia="zh-CN" w:bidi="ar"/>
        </w:rPr>
        <w:t>专业教师应认真践行教育部颁发的《中等职业学校教师职业道德规范》，全</w:t>
      </w:r>
      <w:r>
        <w:rPr>
          <w:rFonts w:hint="eastAsia" w:ascii="宋体" w:hAnsi="宋体" w:eastAsia="宋体" w:cs="宋体"/>
          <w:kern w:val="2"/>
          <w:sz w:val="24"/>
          <w:szCs w:val="24"/>
          <w:lang w:val="en-US" w:eastAsia="zh-CN" w:bidi="ar"/>
        </w:rPr>
        <w:t>面贯彻党的教育方针，坚持“四个相统一”，推动全员全过程全方位“三全育人”。团队教师注重坚守专业精神、职业精神和工匠精神，践行社会主义核心价值观，以德立身、以德立学、以德立教。能适应现代职业教育教学要求（如理实一体化教学、信息化教学等），积极参加教研、教学改革、教学和技能竞赛等活动，完成教师业务培训和专业实践任务，终身学习，勇于创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560" w:firstLineChars="200"/>
        <w:jc w:val="both"/>
        <w:textAlignment w:val="auto"/>
        <w:outlineLvl w:val="2"/>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3.专任、兼职教师要求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教师队伍包括专任教师和兼职教师，</w:t>
      </w:r>
      <w:r>
        <w:rPr>
          <w:rFonts w:hint="eastAsia" w:ascii="宋体" w:hAnsi="宋体" w:eastAsia="宋体" w:cs="宋体"/>
          <w:color w:val="auto"/>
          <w:kern w:val="2"/>
          <w:sz w:val="24"/>
          <w:szCs w:val="24"/>
          <w:lang w:val="en-US" w:eastAsia="zh-CN" w:bidi="ar"/>
        </w:rPr>
        <w:t>兼职教师占专业教师总数的 17%。</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（1）专任教师都具有中等学校教师资格证书。专任教师承担专业必修课程的教学任务，且所承担的教学工作量占到总量的2/3左右。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2）聘请具有现代保育理念，在保教实践中积累了丰富的经验且有一定专长，具有较强的教育教学能力和实践指导能力，具有中级及以上技术职称的一线保教工作者担任兼职教师。兼职教师承担的教学任务保持在1/3之内，主要承担实践课程及相关教学任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560" w:firstLineChars="200"/>
        <w:jc w:val="both"/>
        <w:textAlignment w:val="auto"/>
        <w:outlineLvl w:val="2"/>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4.教师进修培训要求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（1）专任教师每年必须有一个月企业实践或社会实践的经历；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（2）专业课专任教师每五年必须参加一次国家级或省级培训，公共课教师应参加教育教学或新技术的培训。</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rPr>
      </w:pPr>
      <w:bookmarkStart w:id="29" w:name="_Toc15190"/>
      <w:r>
        <w:rPr>
          <w:rFonts w:hint="eastAsia" w:ascii="楷体_GB2312" w:hAnsi="楷体_GB2312" w:eastAsia="楷体_GB2312" w:cs="楷体_GB2312"/>
          <w:b/>
          <w:bCs/>
          <w:sz w:val="28"/>
          <w:szCs w:val="28"/>
        </w:rPr>
        <w:t>（二）教学设施</w:t>
      </w:r>
      <w:bookmarkEnd w:id="29"/>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1.校内</w:t>
      </w:r>
      <w:r>
        <w:rPr>
          <w:rFonts w:hint="eastAsia" w:ascii="宋体" w:hAnsi="宋体" w:eastAsia="宋体" w:cs="宋体"/>
          <w:b/>
          <w:bCs/>
          <w:sz w:val="28"/>
          <w:szCs w:val="28"/>
          <w:lang w:val="en-US" w:eastAsia="zh-CN"/>
        </w:rPr>
        <w:t>实训</w:t>
      </w:r>
      <w:r>
        <w:rPr>
          <w:rFonts w:hint="eastAsia" w:ascii="宋体" w:hAnsi="宋体" w:eastAsia="宋体" w:cs="宋体"/>
          <w:b/>
          <w:bCs/>
          <w:sz w:val="28"/>
          <w:szCs w:val="28"/>
        </w:rPr>
        <w:t xml:space="preserve">教学条件要求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sz w:val="24"/>
          <w:szCs w:val="24"/>
        </w:rPr>
      </w:pPr>
    </w:p>
    <w:p>
      <w:pPr>
        <w:spacing w:line="240" w:lineRule="auto"/>
        <w:ind w:firstLine="480" w:firstLineChars="200"/>
        <w:outlineLvl w:val="9"/>
        <w:rPr>
          <w:rFonts w:hint="eastAsia" w:ascii="宋体" w:hAnsi="宋体" w:eastAsia="宋体" w:cs="宋体"/>
          <w:sz w:val="24"/>
          <w:szCs w:val="24"/>
        </w:rPr>
      </w:pPr>
    </w:p>
    <w:p>
      <w:pPr>
        <w:spacing w:line="520" w:lineRule="exact"/>
        <w:jc w:val="center"/>
        <w:rPr>
          <w:rFonts w:hint="eastAsia" w:ascii="宋体" w:hAnsi="宋体" w:eastAsia="宋体" w:cs="宋体"/>
          <w:sz w:val="28"/>
          <w:szCs w:val="28"/>
        </w:rPr>
      </w:pPr>
      <w:r>
        <w:rPr>
          <w:rFonts w:hint="eastAsia" w:ascii="宋体" w:hAnsi="宋体" w:eastAsia="宋体" w:cs="宋体"/>
          <w:b/>
          <w:bCs/>
          <w:sz w:val="28"/>
          <w:szCs w:val="28"/>
        </w:rPr>
        <w:t>校内实训室一览表</w:t>
      </w:r>
    </w:p>
    <w:tbl>
      <w:tblPr>
        <w:tblStyle w:val="2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5"/>
        <w:gridCol w:w="1894"/>
        <w:gridCol w:w="612"/>
        <w:gridCol w:w="659"/>
        <w:gridCol w:w="1863"/>
        <w:gridCol w:w="2316"/>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序号</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名称</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单位</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数量</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auto"/>
                <w:sz w:val="24"/>
                <w:szCs w:val="24"/>
                <w:lang w:val="en-US" w:eastAsia="zh-CN"/>
              </w:rPr>
              <w:t>主要实训项目</w:t>
            </w:r>
          </w:p>
        </w:tc>
        <w:tc>
          <w:tcPr>
            <w:tcW w:w="3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主要工具和设备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音乐室</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音乐活动实训、节目排练及</w:t>
            </w:r>
          </w:p>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社团活动</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智慧黑板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奥尔夫节奏乐器</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舞蹈厅</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舞蹈实训、形体训练与节目</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排练等</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把杆</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镜子</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钢琴房</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w:t>
            </w: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钢琴演奏</w:t>
            </w:r>
          </w:p>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技能实训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多功能画室</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素描、色彩等</w:t>
            </w:r>
          </w:p>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绘画实训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智慧黑板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画板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智能电钢教室</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键盘演奏</w:t>
            </w: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rPr>
            </w:pPr>
            <w:r>
              <w:rPr>
                <w:rFonts w:hint="eastAsia" w:ascii="宋体" w:hAnsi="宋体" w:eastAsia="宋体" w:cs="宋体"/>
                <w:kern w:val="2"/>
                <w:sz w:val="24"/>
                <w:szCs w:val="24"/>
                <w:lang w:val="en-US" w:eastAsia="zh-CN" w:bidi="ar"/>
              </w:rPr>
              <w:t>技能实训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五线谱电教板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数码钢琴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多媒体交互控制服务器</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幼儿照护实训室</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“1+X”幼儿照护证书技能</w:t>
            </w: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培训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急救、护理教具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游泳、洗澡教具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生活照料教具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幼儿园模拟实训室</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幼儿活动</w:t>
            </w: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课程实训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儿童课桌椅</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9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659"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1863"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6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18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幼儿园教具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w:t>
            </w:r>
          </w:p>
        </w:tc>
        <w:tc>
          <w:tcPr>
            <w:tcW w:w="18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演练厅</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间</w:t>
            </w:r>
          </w:p>
        </w:tc>
        <w:tc>
          <w:tcPr>
            <w:tcW w:w="6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8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技能展示、</w:t>
            </w: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节目排练等</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1894" w:type="dxa"/>
            <w:vMerge w:val="continue"/>
            <w:tcBorders>
              <w:left w:val="single" w:color="auto" w:sz="4" w:space="0"/>
              <w:right w:val="single" w:color="auto" w:sz="4" w:space="0"/>
            </w:tcBorders>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p>
        </w:tc>
        <w:tc>
          <w:tcPr>
            <w:tcW w:w="612"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659"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1863" w:type="dxa"/>
            <w:vMerge w:val="continue"/>
            <w:tcBorders>
              <w:left w:val="single" w:color="auto" w:sz="4" w:space="0"/>
              <w:right w:val="single" w:color="auto" w:sz="4" w:space="0"/>
            </w:tcBorders>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p>
        </w:tc>
        <w:tc>
          <w:tcPr>
            <w:tcW w:w="0" w:type="auto"/>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舞台</w:t>
            </w:r>
          </w:p>
        </w:tc>
        <w:tc>
          <w:tcPr>
            <w:tcW w:w="0" w:type="auto"/>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1894" w:type="dxa"/>
            <w:vMerge w:val="continue"/>
            <w:tcBorders>
              <w:left w:val="single" w:color="auto" w:sz="4" w:space="0"/>
              <w:right w:val="single" w:color="auto" w:sz="4" w:space="0"/>
            </w:tcBorders>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p>
        </w:tc>
        <w:tc>
          <w:tcPr>
            <w:tcW w:w="612"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659" w:type="dxa"/>
            <w:vMerge w:val="continue"/>
            <w:tcBorders>
              <w:left w:val="single" w:color="auto" w:sz="4" w:space="0"/>
              <w:right w:val="single" w:color="auto" w:sz="4" w:space="0"/>
            </w:tcBorders>
            <w:shd w:val="clear" w:color="auto" w:fill="auto"/>
          </w:tcPr>
          <w:p>
            <w:pPr>
              <w:keepNext w:val="0"/>
              <w:keepLines w:val="0"/>
              <w:widowControl w:val="0"/>
              <w:suppressLineNumbers w:val="0"/>
              <w:tabs>
                <w:tab w:val="left" w:pos="1080"/>
                <w:tab w:val="left" w:pos="1260"/>
              </w:tabs>
              <w:spacing w:before="0" w:beforeAutospacing="0" w:after="0" w:afterAutospacing="0" w:line="240" w:lineRule="auto"/>
              <w:ind w:left="0" w:right="0"/>
              <w:jc w:val="center"/>
              <w:rPr>
                <w:rFonts w:hint="eastAsia" w:ascii="宋体" w:hAnsi="宋体" w:eastAsia="宋体" w:cs="宋体"/>
                <w:sz w:val="24"/>
                <w:szCs w:val="24"/>
                <w:lang w:val="en-US"/>
              </w:rPr>
            </w:pPr>
          </w:p>
        </w:tc>
        <w:tc>
          <w:tcPr>
            <w:tcW w:w="1863" w:type="dxa"/>
            <w:vMerge w:val="continue"/>
            <w:tcBorders>
              <w:left w:val="single" w:color="auto" w:sz="4" w:space="0"/>
              <w:right w:val="single" w:color="auto" w:sz="4" w:space="0"/>
            </w:tcBorders>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lang w:val="en-US"/>
              </w:rPr>
            </w:pPr>
          </w:p>
        </w:tc>
        <w:tc>
          <w:tcPr>
            <w:tcW w:w="0" w:type="auto"/>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椅子</w:t>
            </w:r>
          </w:p>
        </w:tc>
        <w:tc>
          <w:tcPr>
            <w:tcW w:w="0" w:type="auto"/>
            <w:shd w:val="clear" w:color="auto" w:fill="auto"/>
            <w:vAlign w:val="center"/>
          </w:tcPr>
          <w:p>
            <w:pPr>
              <w:keepNext w:val="0"/>
              <w:keepLines w:val="0"/>
              <w:widowControl w:val="0"/>
              <w:suppressLineNumbers w:val="0"/>
              <w:tabs>
                <w:tab w:val="left" w:pos="1080"/>
                <w:tab w:val="left" w:pos="1260"/>
              </w:tabs>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200张</w:t>
            </w:r>
          </w:p>
        </w:tc>
      </w:tr>
    </w:tbl>
    <w:p>
      <w:pPr>
        <w:spacing w:line="240" w:lineRule="auto"/>
        <w:ind w:firstLine="480" w:firstLineChars="200"/>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2．校外实训基地</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通过校外实训，使学生</w:t>
      </w:r>
      <w:r>
        <w:rPr>
          <w:rFonts w:hint="eastAsia" w:ascii="宋体" w:hAnsi="宋体" w:cs="宋体"/>
          <w:sz w:val="24"/>
          <w:szCs w:val="24"/>
          <w:lang w:eastAsia="zh-CN"/>
        </w:rPr>
        <w:t>更好地将</w:t>
      </w:r>
      <w:r>
        <w:rPr>
          <w:rFonts w:hint="eastAsia" w:ascii="宋体" w:hAnsi="宋体" w:eastAsia="宋体" w:cs="宋体"/>
          <w:sz w:val="24"/>
          <w:szCs w:val="24"/>
        </w:rPr>
        <w:t>理论与实际相结合，主要承担学生认知学习、保</w:t>
      </w:r>
      <w:r>
        <w:rPr>
          <w:rFonts w:hint="eastAsia" w:ascii="宋体" w:hAnsi="宋体" w:eastAsia="宋体" w:cs="宋体"/>
          <w:sz w:val="24"/>
          <w:szCs w:val="24"/>
          <w:lang w:val="en-US" w:eastAsia="zh-CN"/>
        </w:rPr>
        <w:t>教</w:t>
      </w:r>
      <w:r>
        <w:rPr>
          <w:rFonts w:hint="eastAsia" w:ascii="宋体" w:hAnsi="宋体" w:eastAsia="宋体" w:cs="宋体"/>
          <w:sz w:val="24"/>
          <w:szCs w:val="24"/>
        </w:rPr>
        <w:t>见习与顶岗实习。全面巩固、锻炼实践操作技能，为就业打下坚实基础。让学生熟悉</w:t>
      </w:r>
      <w:r>
        <w:rPr>
          <w:rFonts w:hint="eastAsia" w:ascii="宋体" w:hAnsi="宋体" w:eastAsia="宋体" w:cs="宋体"/>
          <w:sz w:val="24"/>
          <w:szCs w:val="24"/>
          <w:lang w:val="en-US" w:eastAsia="zh-CN"/>
        </w:rPr>
        <w:t>保育员</w:t>
      </w:r>
      <w:r>
        <w:rPr>
          <w:rFonts w:hint="eastAsia" w:ascii="宋体" w:hAnsi="宋体" w:eastAsia="宋体" w:cs="宋体"/>
          <w:sz w:val="24"/>
          <w:szCs w:val="24"/>
        </w:rPr>
        <w:t>工作的性质和职责，进一步掌握保教工作额基本内容和特点；通过实习</w:t>
      </w:r>
      <w:r>
        <w:rPr>
          <w:rFonts w:hint="eastAsia" w:ascii="宋体" w:hAnsi="宋体" w:eastAsia="宋体" w:cs="宋体"/>
          <w:sz w:val="24"/>
          <w:szCs w:val="24"/>
          <w:lang w:val="en-US" w:eastAsia="zh-CN"/>
        </w:rPr>
        <w:t>幼儿保育员</w:t>
      </w:r>
      <w:r>
        <w:rPr>
          <w:rFonts w:hint="eastAsia" w:ascii="宋体" w:hAnsi="宋体" w:eastAsia="宋体" w:cs="宋体"/>
          <w:sz w:val="24"/>
          <w:szCs w:val="24"/>
        </w:rPr>
        <w:t>的全部工作，培养学生组织幼儿园一日活动及</w:t>
      </w:r>
      <w:r>
        <w:rPr>
          <w:rFonts w:hint="eastAsia" w:ascii="宋体" w:hAnsi="宋体" w:eastAsia="宋体" w:cs="宋体"/>
          <w:sz w:val="24"/>
          <w:szCs w:val="24"/>
          <w:lang w:val="en-US" w:eastAsia="zh-CN"/>
        </w:rPr>
        <w:t>配合幼儿教师组织</w:t>
      </w:r>
      <w:r>
        <w:rPr>
          <w:rFonts w:hint="eastAsia" w:ascii="宋体" w:hAnsi="宋体" w:eastAsia="宋体" w:cs="宋体"/>
          <w:sz w:val="24"/>
          <w:szCs w:val="24"/>
        </w:rPr>
        <w:t>幼儿游戏的能力，学习幼儿园</w:t>
      </w:r>
      <w:r>
        <w:rPr>
          <w:rFonts w:hint="eastAsia" w:ascii="宋体" w:hAnsi="宋体" w:eastAsia="宋体" w:cs="宋体"/>
          <w:sz w:val="24"/>
          <w:szCs w:val="24"/>
          <w:lang w:val="en-US" w:eastAsia="zh-CN"/>
        </w:rPr>
        <w:t>保育员</w:t>
      </w:r>
      <w:r>
        <w:rPr>
          <w:rFonts w:hint="eastAsia" w:ascii="宋体" w:hAnsi="宋体" w:eastAsia="宋体" w:cs="宋体"/>
          <w:sz w:val="24"/>
          <w:szCs w:val="24"/>
        </w:rPr>
        <w:t>的优秀品质和敬业精神，增强适应岗位的能力。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（1）选择具有良好的办学条件和师资队伍的公办或社会力量举办的优秀幼儿园、早期教育机构，建立稳定的校外实训实习基地，积极协助学校探索</w:t>
      </w:r>
      <w:r>
        <w:rPr>
          <w:rFonts w:hint="eastAsia" w:ascii="宋体" w:hAnsi="宋体" w:eastAsia="宋体" w:cs="宋体"/>
          <w:sz w:val="24"/>
          <w:szCs w:val="24"/>
          <w:lang w:val="en-US" w:eastAsia="zh-CN"/>
        </w:rPr>
        <w:t>新型</w:t>
      </w:r>
      <w:r>
        <w:rPr>
          <w:rFonts w:hint="eastAsia" w:ascii="宋体" w:hAnsi="宋体" w:eastAsia="宋体" w:cs="宋体"/>
          <w:sz w:val="24"/>
          <w:szCs w:val="24"/>
        </w:rPr>
        <w:t>技能人才</w:t>
      </w:r>
      <w:r>
        <w:rPr>
          <w:rFonts w:hint="eastAsia" w:ascii="宋体" w:hAnsi="宋体" w:eastAsia="宋体" w:cs="宋体"/>
          <w:sz w:val="24"/>
          <w:szCs w:val="24"/>
          <w:lang w:val="en-US" w:eastAsia="zh-CN"/>
        </w:rPr>
        <w:t>培养。</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（2）实习基地配套完备的</w:t>
      </w:r>
      <w:r>
        <w:rPr>
          <w:rFonts w:hint="eastAsia" w:ascii="宋体" w:hAnsi="宋体" w:eastAsia="宋体" w:cs="宋体"/>
          <w:sz w:val="24"/>
          <w:szCs w:val="24"/>
          <w:lang w:val="en-US" w:eastAsia="zh-CN"/>
        </w:rPr>
        <w:t>保教</w:t>
      </w:r>
      <w:r>
        <w:rPr>
          <w:rFonts w:hint="eastAsia" w:ascii="宋体" w:hAnsi="宋体" w:eastAsia="宋体" w:cs="宋体"/>
          <w:sz w:val="24"/>
          <w:szCs w:val="24"/>
        </w:rPr>
        <w:t>实训措施，在</w:t>
      </w:r>
      <w:r>
        <w:rPr>
          <w:rFonts w:hint="eastAsia" w:ascii="宋体" w:hAnsi="宋体" w:eastAsia="宋体" w:cs="宋体"/>
          <w:sz w:val="24"/>
          <w:szCs w:val="24"/>
          <w:lang w:val="en-US" w:eastAsia="zh-CN"/>
        </w:rPr>
        <w:t>教育教学</w:t>
      </w:r>
      <w:r>
        <w:rPr>
          <w:rFonts w:hint="eastAsia" w:ascii="宋体" w:hAnsi="宋体" w:eastAsia="宋体" w:cs="宋体"/>
          <w:sz w:val="24"/>
          <w:szCs w:val="24"/>
        </w:rPr>
        <w:t>、</w:t>
      </w:r>
      <w:r>
        <w:rPr>
          <w:rFonts w:hint="eastAsia" w:ascii="宋体" w:hAnsi="宋体" w:eastAsia="宋体" w:cs="宋体"/>
          <w:sz w:val="24"/>
          <w:szCs w:val="24"/>
          <w:lang w:val="en-US" w:eastAsia="zh-CN"/>
        </w:rPr>
        <w:t>保育工作</w:t>
      </w:r>
      <w:r>
        <w:rPr>
          <w:rFonts w:hint="eastAsia" w:ascii="宋体" w:hAnsi="宋体" w:eastAsia="宋体" w:cs="宋体"/>
          <w:sz w:val="24"/>
          <w:szCs w:val="24"/>
        </w:rPr>
        <w:t>、</w:t>
      </w:r>
      <w:r>
        <w:rPr>
          <w:rFonts w:hint="eastAsia" w:ascii="宋体" w:hAnsi="宋体" w:eastAsia="宋体" w:cs="宋体"/>
          <w:sz w:val="24"/>
          <w:szCs w:val="24"/>
          <w:lang w:val="en-US" w:eastAsia="zh-CN"/>
        </w:rPr>
        <w:t>师资教研</w:t>
      </w:r>
      <w:r>
        <w:rPr>
          <w:rFonts w:hint="eastAsia" w:ascii="宋体" w:hAnsi="宋体" w:eastAsia="宋体" w:cs="宋体"/>
          <w:sz w:val="24"/>
          <w:szCs w:val="24"/>
        </w:rPr>
        <w:t xml:space="preserve">等方面有区域或行业代表性，具有对学生实习进行必要的组织、指导和管理的能力。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（3）实习基地积极参</w:t>
      </w:r>
      <w:r>
        <w:rPr>
          <w:rFonts w:hint="eastAsia" w:ascii="宋体" w:hAnsi="宋体" w:eastAsia="宋体" w:cs="宋体"/>
          <w:sz w:val="24"/>
          <w:szCs w:val="24"/>
          <w:lang w:val="en-US" w:eastAsia="zh-CN"/>
        </w:rPr>
        <w:t>与</w:t>
      </w:r>
      <w:r>
        <w:rPr>
          <w:rFonts w:hint="eastAsia" w:ascii="宋体" w:hAnsi="宋体" w:eastAsia="宋体" w:cs="宋体"/>
          <w:sz w:val="24"/>
          <w:szCs w:val="24"/>
        </w:rPr>
        <w:t xml:space="preserve">本专业的教育教学改革工作并提出建议。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（4）实习基地</w:t>
      </w:r>
      <w:r>
        <w:rPr>
          <w:rFonts w:hint="eastAsia" w:ascii="宋体" w:hAnsi="宋体" w:eastAsia="宋体" w:cs="宋体"/>
          <w:sz w:val="24"/>
          <w:szCs w:val="24"/>
          <w:lang w:val="en-US" w:eastAsia="zh-CN"/>
        </w:rPr>
        <w:t>岗位</w:t>
      </w:r>
      <w:r>
        <w:rPr>
          <w:rFonts w:hint="eastAsia" w:ascii="宋体" w:hAnsi="宋体" w:eastAsia="宋体" w:cs="宋体"/>
          <w:sz w:val="24"/>
          <w:szCs w:val="24"/>
        </w:rPr>
        <w:t>数量按照学生和</w:t>
      </w:r>
      <w:r>
        <w:rPr>
          <w:rFonts w:hint="eastAsia" w:ascii="宋体" w:hAnsi="宋体" w:eastAsia="宋体" w:cs="宋体"/>
          <w:sz w:val="24"/>
          <w:szCs w:val="24"/>
          <w:lang w:val="en-US" w:eastAsia="zh-CN"/>
        </w:rPr>
        <w:t>岗位</w:t>
      </w:r>
      <w:r>
        <w:rPr>
          <w:rFonts w:hint="eastAsia" w:ascii="宋体" w:hAnsi="宋体" w:eastAsia="宋体" w:cs="宋体"/>
          <w:sz w:val="24"/>
          <w:szCs w:val="24"/>
        </w:rPr>
        <w:t>比例</w:t>
      </w:r>
      <w:r>
        <w:rPr>
          <w:rFonts w:hint="eastAsia" w:ascii="宋体" w:hAnsi="宋体" w:eastAsia="宋体" w:cs="宋体"/>
          <w:sz w:val="24"/>
          <w:szCs w:val="24"/>
          <w:lang w:val="en-US" w:eastAsia="zh-CN"/>
        </w:rPr>
        <w:t>为5：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满足本专业</w:t>
      </w:r>
      <w:r>
        <w:rPr>
          <w:rFonts w:hint="eastAsia" w:ascii="宋体" w:hAnsi="宋体" w:eastAsia="宋体" w:cs="宋体"/>
          <w:sz w:val="24"/>
          <w:szCs w:val="24"/>
          <w:lang w:val="en-US" w:eastAsia="zh-CN"/>
        </w:rPr>
        <w:t>一日见习、</w:t>
      </w:r>
      <w:r>
        <w:rPr>
          <w:rFonts w:hint="eastAsia" w:ascii="宋体" w:hAnsi="宋体" w:eastAsia="宋体" w:cs="宋体"/>
          <w:sz w:val="24"/>
          <w:szCs w:val="24"/>
        </w:rPr>
        <w:t>顶岗实习需求，学生实习期间，能做好学生实习中的</w:t>
      </w:r>
      <w:r>
        <w:rPr>
          <w:rFonts w:hint="eastAsia" w:ascii="宋体" w:hAnsi="宋体" w:eastAsia="宋体" w:cs="宋体"/>
          <w:sz w:val="24"/>
          <w:szCs w:val="24"/>
          <w:lang w:val="en-US" w:eastAsia="zh-CN"/>
        </w:rPr>
        <w:t>监管</w:t>
      </w:r>
      <w:r>
        <w:rPr>
          <w:rFonts w:hint="eastAsia" w:ascii="宋体" w:hAnsi="宋体" w:eastAsia="宋体" w:cs="宋体"/>
          <w:sz w:val="24"/>
          <w:szCs w:val="24"/>
        </w:rPr>
        <w:t>、</w:t>
      </w:r>
      <w:r>
        <w:rPr>
          <w:rFonts w:hint="eastAsia" w:ascii="宋体" w:hAnsi="宋体" w:eastAsia="宋体" w:cs="宋体"/>
          <w:sz w:val="24"/>
          <w:szCs w:val="24"/>
          <w:lang w:val="en-US" w:eastAsia="zh-CN"/>
        </w:rPr>
        <w:t>指导</w:t>
      </w:r>
      <w:r>
        <w:rPr>
          <w:rFonts w:hint="eastAsia" w:ascii="宋体" w:hAnsi="宋体" w:eastAsia="宋体" w:cs="宋体"/>
          <w:sz w:val="24"/>
          <w:szCs w:val="24"/>
        </w:rPr>
        <w:t xml:space="preserve">等工作，配有实习指导方案。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（5）让学生熟悉</w:t>
      </w:r>
      <w:r>
        <w:rPr>
          <w:rFonts w:hint="eastAsia" w:ascii="宋体" w:hAnsi="宋体" w:eastAsia="宋体" w:cs="宋体"/>
          <w:sz w:val="24"/>
          <w:szCs w:val="24"/>
          <w:lang w:val="en-US" w:eastAsia="zh-CN"/>
        </w:rPr>
        <w:t>保育员</w:t>
      </w:r>
      <w:r>
        <w:rPr>
          <w:rFonts w:hint="eastAsia" w:ascii="宋体" w:hAnsi="宋体" w:eastAsia="宋体" w:cs="宋体"/>
          <w:sz w:val="24"/>
          <w:szCs w:val="24"/>
        </w:rPr>
        <w:t>工作的性质和职责，进一步掌握保教工作</w:t>
      </w:r>
      <w:r>
        <w:rPr>
          <w:rFonts w:hint="eastAsia" w:ascii="宋体" w:hAnsi="宋体" w:eastAsia="宋体" w:cs="宋体"/>
          <w:sz w:val="24"/>
          <w:szCs w:val="24"/>
          <w:lang w:val="en-US" w:eastAsia="zh-CN"/>
        </w:rPr>
        <w:t>的</w:t>
      </w:r>
      <w:r>
        <w:rPr>
          <w:rFonts w:hint="eastAsia" w:ascii="宋体" w:hAnsi="宋体" w:eastAsia="宋体" w:cs="宋体"/>
          <w:sz w:val="24"/>
          <w:szCs w:val="24"/>
        </w:rPr>
        <w:t>基本内容和特点；通过实习</w:t>
      </w:r>
      <w:r>
        <w:rPr>
          <w:rFonts w:hint="eastAsia" w:ascii="宋体" w:hAnsi="宋体" w:eastAsia="宋体" w:cs="宋体"/>
          <w:sz w:val="24"/>
          <w:szCs w:val="24"/>
          <w:lang w:val="en-US" w:eastAsia="zh-CN"/>
        </w:rPr>
        <w:t>幼儿保育员</w:t>
      </w:r>
      <w:r>
        <w:rPr>
          <w:rFonts w:hint="eastAsia" w:ascii="宋体" w:hAnsi="宋体" w:eastAsia="宋体" w:cs="宋体"/>
          <w:sz w:val="24"/>
          <w:szCs w:val="24"/>
        </w:rPr>
        <w:t>的全部工作，培养学生组织幼儿园一日活动及</w:t>
      </w:r>
      <w:r>
        <w:rPr>
          <w:rFonts w:hint="eastAsia" w:ascii="宋体" w:hAnsi="宋体" w:eastAsia="宋体" w:cs="宋体"/>
          <w:sz w:val="24"/>
          <w:szCs w:val="24"/>
          <w:lang w:val="en-US" w:eastAsia="zh-CN"/>
        </w:rPr>
        <w:t>配合幼儿教师组织</w:t>
      </w:r>
      <w:r>
        <w:rPr>
          <w:rFonts w:hint="eastAsia" w:ascii="宋体" w:hAnsi="宋体" w:eastAsia="宋体" w:cs="宋体"/>
          <w:sz w:val="24"/>
          <w:szCs w:val="24"/>
        </w:rPr>
        <w:t>幼儿游戏的能力，学习幼儿园</w:t>
      </w:r>
      <w:r>
        <w:rPr>
          <w:rFonts w:hint="eastAsia" w:ascii="宋体" w:hAnsi="宋体" w:eastAsia="宋体" w:cs="宋体"/>
          <w:sz w:val="24"/>
          <w:szCs w:val="24"/>
          <w:lang w:val="en-US" w:eastAsia="zh-CN"/>
        </w:rPr>
        <w:t>保育员</w:t>
      </w:r>
      <w:r>
        <w:rPr>
          <w:rFonts w:hint="eastAsia" w:ascii="宋体" w:hAnsi="宋体" w:eastAsia="宋体" w:cs="宋体"/>
          <w:sz w:val="24"/>
          <w:szCs w:val="24"/>
        </w:rPr>
        <w:t>的优秀品质和敬业精神，增强适应岗位的能力。</w:t>
      </w:r>
    </w:p>
    <w:p>
      <w:pPr>
        <w:spacing w:line="520" w:lineRule="exact"/>
        <w:jc w:val="center"/>
        <w:outlineLvl w:val="2"/>
        <w:rPr>
          <w:rFonts w:hint="eastAsia" w:ascii="宋体" w:hAnsi="宋体" w:eastAsia="宋体" w:cs="宋体"/>
          <w:b/>
          <w:bCs/>
          <w:sz w:val="28"/>
          <w:szCs w:val="28"/>
        </w:rPr>
      </w:pPr>
      <w:r>
        <w:rPr>
          <w:rFonts w:hint="eastAsia" w:ascii="宋体" w:hAnsi="宋体" w:eastAsia="宋体" w:cs="宋体"/>
          <w:b/>
          <w:bCs/>
          <w:sz w:val="28"/>
          <w:szCs w:val="28"/>
        </w:rPr>
        <w:t>校外实训基地一览表</w:t>
      </w:r>
    </w:p>
    <w:tbl>
      <w:tblPr>
        <w:tblStyle w:val="25"/>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174"/>
        <w:gridCol w:w="824"/>
        <w:gridCol w:w="1618"/>
        <w:gridCol w:w="230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序号</w:t>
            </w:r>
          </w:p>
        </w:tc>
        <w:tc>
          <w:tcPr>
            <w:tcW w:w="1235"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实训基地名称</w:t>
            </w:r>
          </w:p>
        </w:tc>
        <w:tc>
          <w:tcPr>
            <w:tcW w:w="46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地点</w:t>
            </w:r>
          </w:p>
        </w:tc>
        <w:tc>
          <w:tcPr>
            <w:tcW w:w="919"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基地功能</w:t>
            </w:r>
          </w:p>
        </w:tc>
        <w:tc>
          <w:tcPr>
            <w:tcW w:w="1311"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实践目的</w:t>
            </w:r>
          </w:p>
        </w:tc>
        <w:tc>
          <w:tcPr>
            <w:tcW w:w="78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接纳人数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6"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35" w:type="pct"/>
            <w:noWrap w:val="0"/>
            <w:vAlign w:val="center"/>
          </w:tcPr>
          <w:p>
            <w:pPr>
              <w:pStyle w:val="22"/>
              <w:keepNext w:val="0"/>
              <w:keepLines w:val="0"/>
              <w:suppressLineNumbers w:val="0"/>
              <w:spacing w:line="216" w:lineRule="atLeast"/>
              <w:ind w:left="0" w:leftChars="0" w:right="0" w:rightChars="0"/>
              <w:rPr>
                <w:rFonts w:hint="eastAsia" w:ascii="宋体" w:hAnsi="宋体" w:eastAsia="宋体" w:cs="宋体"/>
                <w:kern w:val="0"/>
                <w:sz w:val="24"/>
                <w:szCs w:val="24"/>
                <w:lang w:val="en-US" w:eastAsia="zh-CN" w:bidi="ar-SA"/>
              </w:rPr>
            </w:pPr>
            <w:r>
              <w:rPr>
                <w:rFonts w:hint="eastAsia"/>
              </w:rPr>
              <w:t>福安市金沙幼儿园</w:t>
            </w:r>
          </w:p>
        </w:tc>
        <w:tc>
          <w:tcPr>
            <w:tcW w:w="46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福安</w:t>
            </w:r>
          </w:p>
        </w:tc>
        <w:tc>
          <w:tcPr>
            <w:tcW w:w="919"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专业认知保</w:t>
            </w:r>
            <w:r>
              <w:rPr>
                <w:rFonts w:hint="eastAsia" w:ascii="宋体" w:hAnsi="宋体" w:eastAsia="宋体" w:cs="宋体"/>
                <w:color w:val="000000"/>
                <w:sz w:val="24"/>
                <w:szCs w:val="24"/>
              </w:rPr>
              <w:t>教见习、实习</w:t>
            </w:r>
          </w:p>
        </w:tc>
        <w:tc>
          <w:tcPr>
            <w:tcW w:w="1311"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师德践行、教育情怀培养、技能训练</w:t>
            </w:r>
          </w:p>
        </w:tc>
        <w:tc>
          <w:tcPr>
            <w:tcW w:w="78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6"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35" w:type="pct"/>
            <w:noWrap w:val="0"/>
            <w:vAlign w:val="center"/>
          </w:tcPr>
          <w:p>
            <w:pPr>
              <w:pStyle w:val="22"/>
              <w:keepNext w:val="0"/>
              <w:keepLines w:val="0"/>
              <w:suppressLineNumbers w:val="0"/>
              <w:spacing w:line="216" w:lineRule="atLeast"/>
              <w:ind w:left="0" w:leftChars="0" w:right="0" w:rightChars="0"/>
              <w:rPr>
                <w:rFonts w:hint="eastAsia" w:ascii="宋体" w:hAnsi="宋体" w:eastAsia="宋体" w:cs="宋体"/>
                <w:kern w:val="0"/>
                <w:sz w:val="24"/>
                <w:szCs w:val="24"/>
                <w:lang w:val="en-US" w:eastAsia="zh-CN" w:bidi="ar-SA"/>
              </w:rPr>
            </w:pPr>
            <w:r>
              <w:rPr>
                <w:rFonts w:hint="eastAsia"/>
              </w:rPr>
              <w:t>福安市为民幼儿园</w:t>
            </w:r>
          </w:p>
        </w:tc>
        <w:tc>
          <w:tcPr>
            <w:tcW w:w="46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福安</w:t>
            </w:r>
          </w:p>
        </w:tc>
        <w:tc>
          <w:tcPr>
            <w:tcW w:w="919"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专业认知保</w:t>
            </w:r>
            <w:r>
              <w:rPr>
                <w:rFonts w:hint="eastAsia" w:ascii="宋体" w:hAnsi="宋体" w:eastAsia="宋体" w:cs="宋体"/>
                <w:color w:val="000000"/>
                <w:sz w:val="24"/>
                <w:szCs w:val="24"/>
              </w:rPr>
              <w:t>教见习、实习</w:t>
            </w:r>
          </w:p>
        </w:tc>
        <w:tc>
          <w:tcPr>
            <w:tcW w:w="1311"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师德践行、教育情怀培养、技能训练</w:t>
            </w:r>
          </w:p>
        </w:tc>
        <w:tc>
          <w:tcPr>
            <w:tcW w:w="78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6"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35" w:type="pct"/>
            <w:noWrap w:val="0"/>
            <w:vAlign w:val="center"/>
          </w:tcPr>
          <w:p>
            <w:pPr>
              <w:pStyle w:val="22"/>
              <w:keepNext w:val="0"/>
              <w:keepLines w:val="0"/>
              <w:suppressLineNumbers w:val="0"/>
              <w:spacing w:line="216" w:lineRule="atLeast"/>
              <w:ind w:left="0" w:leftChars="0" w:right="0" w:rightChars="0"/>
              <w:rPr>
                <w:rFonts w:hint="eastAsia" w:ascii="宋体" w:hAnsi="宋体" w:eastAsia="宋体" w:cs="宋体"/>
                <w:kern w:val="0"/>
                <w:sz w:val="24"/>
                <w:szCs w:val="24"/>
                <w:lang w:val="en-US" w:eastAsia="zh-CN" w:bidi="ar-SA"/>
              </w:rPr>
            </w:pPr>
            <w:r>
              <w:rPr>
                <w:rFonts w:hint="eastAsia"/>
              </w:rPr>
              <w:t>福安市红黄蓝幼儿园</w:t>
            </w:r>
          </w:p>
        </w:tc>
        <w:tc>
          <w:tcPr>
            <w:tcW w:w="46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福安</w:t>
            </w:r>
          </w:p>
        </w:tc>
        <w:tc>
          <w:tcPr>
            <w:tcW w:w="919"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专业认知保</w:t>
            </w:r>
            <w:r>
              <w:rPr>
                <w:rFonts w:hint="eastAsia" w:ascii="宋体" w:hAnsi="宋体" w:eastAsia="宋体" w:cs="宋体"/>
                <w:color w:val="000000"/>
                <w:sz w:val="24"/>
                <w:szCs w:val="24"/>
              </w:rPr>
              <w:t>教见习、实习</w:t>
            </w:r>
          </w:p>
        </w:tc>
        <w:tc>
          <w:tcPr>
            <w:tcW w:w="1311"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师德践行、教育情怀培养、技能训练</w:t>
            </w:r>
          </w:p>
        </w:tc>
        <w:tc>
          <w:tcPr>
            <w:tcW w:w="78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6"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35" w:type="pct"/>
            <w:noWrap w:val="0"/>
            <w:vAlign w:val="center"/>
          </w:tcPr>
          <w:p>
            <w:pPr>
              <w:keepNext w:val="0"/>
              <w:keepLines w:val="0"/>
              <w:suppressLineNumbers w:val="0"/>
              <w:spacing w:before="0" w:beforeAutospacing="0" w:after="0" w:afterAutospacing="0" w:line="360" w:lineRule="auto"/>
              <w:ind w:left="0" w:leftChars="0" w:right="0" w:rightChars="0"/>
              <w:rPr>
                <w:rFonts w:hint="eastAsia" w:ascii="宋体" w:hAnsi="宋体" w:eastAsia="宋体" w:cs="宋体"/>
                <w:kern w:val="2"/>
                <w:sz w:val="24"/>
                <w:szCs w:val="24"/>
                <w:lang w:val="en-US" w:eastAsia="zh-CN" w:bidi="ar-SA"/>
              </w:rPr>
            </w:pPr>
            <w:r>
              <w:rPr>
                <w:rFonts w:hint="eastAsia" w:ascii="宋体" w:hAnsi="宋体" w:cs="宋体"/>
                <w:sz w:val="24"/>
                <w:szCs w:val="24"/>
              </w:rPr>
              <w:t>福安市伟才幼儿园</w:t>
            </w:r>
          </w:p>
        </w:tc>
        <w:tc>
          <w:tcPr>
            <w:tcW w:w="46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福安</w:t>
            </w:r>
          </w:p>
        </w:tc>
        <w:tc>
          <w:tcPr>
            <w:tcW w:w="919"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专业认知保</w:t>
            </w:r>
            <w:r>
              <w:rPr>
                <w:rFonts w:hint="eastAsia" w:ascii="宋体" w:hAnsi="宋体" w:eastAsia="宋体" w:cs="宋体"/>
                <w:color w:val="000000"/>
                <w:sz w:val="24"/>
                <w:szCs w:val="24"/>
              </w:rPr>
              <w:t>教见习、实习</w:t>
            </w:r>
          </w:p>
        </w:tc>
        <w:tc>
          <w:tcPr>
            <w:tcW w:w="1311"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师德践行、教育情怀培养、技能训练</w:t>
            </w:r>
          </w:p>
        </w:tc>
        <w:tc>
          <w:tcPr>
            <w:tcW w:w="78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20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80" w:firstLineChars="100"/>
        <w:textAlignment w:val="auto"/>
        <w:outlineLvl w:val="1"/>
        <w:rPr>
          <w:rFonts w:hint="eastAsia" w:ascii="楷体_GB2312" w:hAnsi="楷体_GB2312" w:eastAsia="楷体_GB2312" w:cs="楷体_GB2312"/>
          <w:b/>
          <w:bCs/>
          <w:sz w:val="28"/>
          <w:szCs w:val="28"/>
        </w:rPr>
      </w:pPr>
      <w:bookmarkStart w:id="30" w:name="_Toc16799"/>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教学资源</w:t>
      </w:r>
      <w:bookmarkEnd w:id="30"/>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 xml:space="preserve">1.教材选用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 根据课程标准的要求，严格审核并选用教材，优先选用国家规划教材、团队教师主编教材、自编讲义等。</w:t>
      </w:r>
      <w:r>
        <w:rPr>
          <w:rFonts w:hint="eastAsia" w:ascii="宋体" w:hAnsi="宋体" w:eastAsia="宋体" w:cs="宋体"/>
          <w:b w:val="0"/>
          <w:bCs w:val="0"/>
          <w:sz w:val="24"/>
          <w:szCs w:val="24"/>
        </w:rPr>
        <w:t>立足于“三教”改革的核心，</w:t>
      </w:r>
      <w:r>
        <w:rPr>
          <w:rFonts w:hint="eastAsia" w:ascii="宋体" w:hAnsi="宋体" w:eastAsia="宋体" w:cs="宋体"/>
          <w:sz w:val="24"/>
          <w:szCs w:val="24"/>
        </w:rPr>
        <w:t>积极鼓励团队教师按照本专业的人才培养目标</w:t>
      </w:r>
      <w:r>
        <w:rPr>
          <w:rFonts w:hint="eastAsia" w:ascii="宋体" w:hAnsi="宋体" w:eastAsia="宋体" w:cs="宋体"/>
          <w:sz w:val="24"/>
          <w:szCs w:val="24"/>
          <w:lang w:val="en-US" w:eastAsia="zh-CN"/>
        </w:rPr>
        <w:t>重构教学内容，</w:t>
      </w:r>
      <w:r>
        <w:rPr>
          <w:rFonts w:hint="eastAsia" w:ascii="宋体" w:hAnsi="宋体" w:eastAsia="宋体" w:cs="宋体"/>
          <w:sz w:val="24"/>
          <w:szCs w:val="24"/>
        </w:rPr>
        <w:t>编写</w:t>
      </w:r>
      <w:r>
        <w:rPr>
          <w:rFonts w:hint="eastAsia" w:ascii="宋体" w:hAnsi="宋体" w:eastAsia="宋体" w:cs="宋体"/>
          <w:sz w:val="24"/>
          <w:szCs w:val="24"/>
          <w:lang w:val="en-US" w:eastAsia="zh-CN"/>
        </w:rPr>
        <w:t>活页教材</w:t>
      </w:r>
      <w:r>
        <w:rPr>
          <w:rFonts w:hint="eastAsia" w:ascii="宋体" w:hAnsi="宋体" w:eastAsia="宋体" w:cs="宋体"/>
          <w:sz w:val="24"/>
          <w:szCs w:val="24"/>
        </w:rPr>
        <w:t>和实训指导书</w:t>
      </w:r>
      <w:r>
        <w:rPr>
          <w:rFonts w:hint="eastAsia" w:ascii="宋体" w:hAnsi="宋体" w:eastAsia="宋体" w:cs="宋体"/>
          <w:sz w:val="24"/>
          <w:szCs w:val="24"/>
          <w:lang w:eastAsia="zh-CN"/>
        </w:rPr>
        <w:t>，</w:t>
      </w:r>
      <w:r>
        <w:rPr>
          <w:rFonts w:hint="eastAsia" w:ascii="宋体" w:hAnsi="宋体" w:eastAsia="宋体" w:cs="宋体"/>
          <w:b w:val="0"/>
          <w:bCs w:val="0"/>
          <w:sz w:val="24"/>
          <w:szCs w:val="24"/>
        </w:rPr>
        <w:t>以提高教学的针对性、职业性、实用性</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 xml:space="preserve">2.专业教学资源 </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在现有国家级精品课建设的基础上，</w:t>
      </w:r>
      <w:r>
        <w:rPr>
          <w:rFonts w:hint="eastAsia" w:ascii="宋体" w:hAnsi="宋体" w:eastAsia="宋体" w:cs="宋体"/>
          <w:b w:val="0"/>
          <w:bCs w:val="0"/>
          <w:sz w:val="24"/>
          <w:szCs w:val="24"/>
          <w:lang w:val="en-US" w:eastAsia="zh-CN"/>
        </w:rPr>
        <w:t>学校与企业共同开发了集移动端、教学端、管理端为一体的智慧教学音乐实训平台与智慧钢琴教学平台；建设了《公共艺术（音乐篇）》省级课程思政示范精品课程；编写了《音乐素养》活页教材及配套资源。不</w:t>
      </w:r>
      <w:r>
        <w:rPr>
          <w:rFonts w:hint="eastAsia" w:ascii="宋体" w:hAnsi="宋体" w:eastAsia="宋体" w:cs="宋体"/>
          <w:sz w:val="24"/>
          <w:szCs w:val="24"/>
        </w:rPr>
        <w:t>断更新校级专业教学资源库的同时，鼓励教师通过学习通、云班课等平台自建课程体系</w:t>
      </w:r>
      <w:r>
        <w:rPr>
          <w:rFonts w:hint="eastAsia" w:ascii="宋体" w:hAnsi="宋体" w:eastAsia="宋体" w:cs="宋体"/>
          <w:sz w:val="24"/>
          <w:szCs w:val="24"/>
          <w:lang w:val="en-US" w:eastAsia="zh-CN"/>
        </w:rPr>
        <w:t>及一生一档信息采集系统</w:t>
      </w:r>
      <w:r>
        <w:rPr>
          <w:rFonts w:hint="eastAsia" w:ascii="宋体" w:hAnsi="宋体" w:eastAsia="宋体" w:cs="宋体"/>
          <w:sz w:val="24"/>
          <w:szCs w:val="24"/>
        </w:rPr>
        <w:t xml:space="preserve">，实施信息化课程改革。通过专业教学资源的开发与建设，提高教师能力的同时，为学生实现自主学习，扩宽学习的时间和空间。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560" w:firstLineChars="200"/>
        <w:textAlignment w:val="auto"/>
        <w:outlineLvl w:val="1"/>
        <w:rPr>
          <w:rFonts w:hint="eastAsia" w:ascii="楷体_GB2312" w:hAnsi="楷体_GB2312" w:eastAsia="楷体_GB2312" w:cs="楷体_GB2312"/>
          <w:b/>
          <w:bCs/>
          <w:sz w:val="28"/>
          <w:szCs w:val="28"/>
        </w:rPr>
      </w:pPr>
      <w:bookmarkStart w:id="31" w:name="_Toc25144"/>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四</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教学方法</w:t>
      </w:r>
      <w:bookmarkEnd w:id="31"/>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以“职业需求、</w:t>
      </w:r>
      <w:r>
        <w:rPr>
          <w:rFonts w:hint="eastAsia" w:ascii="宋体" w:hAnsi="宋体" w:eastAsia="宋体" w:cs="宋体"/>
          <w:sz w:val="24"/>
          <w:szCs w:val="24"/>
          <w:lang w:val="en-US" w:eastAsia="zh-CN"/>
        </w:rPr>
        <w:t>行动</w:t>
      </w:r>
      <w:r>
        <w:rPr>
          <w:rFonts w:hint="eastAsia" w:ascii="宋体" w:hAnsi="宋体" w:eastAsia="宋体" w:cs="宋体"/>
          <w:sz w:val="24"/>
          <w:szCs w:val="24"/>
        </w:rPr>
        <w:t>导向、研究先行、个性教学”为思路，深化产教融合。</w:t>
      </w:r>
      <w:r>
        <w:rPr>
          <w:rFonts w:hint="eastAsia" w:ascii="宋体" w:hAnsi="宋体" w:eastAsia="宋体" w:cs="宋体"/>
          <w:sz w:val="24"/>
          <w:szCs w:val="24"/>
          <w:lang w:val="en-US" w:eastAsia="zh-CN"/>
        </w:rPr>
        <w:t>以行动为导向，以岗位任务为驱动，立足学生主体，采用任务驱动法、合作探究、 情景教学等教学方法进行实训。采用超星、雨课堂、音乐实训平台、腾讯课堂等实训平台进行线上线下混合一体化模式教学。结合幼儿园课堂及一日活动流程，构建协作与会话，充分发挥学生学习的积极性和主动性，实现“做中学、学中做、边做边学、边学边做”。</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外，营造竞赛文化以赛促学、以赛促练，通过校级、市级、省级职业院校（中职组）技能竞赛，以及各类专项技能比赛中提升学生技能，提高学生竞争意识，激发学生学习兴趣，营造良好的学习氛围，形成学习的主动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560" w:firstLineChars="200"/>
        <w:textAlignment w:val="auto"/>
        <w:outlineLvl w:val="1"/>
        <w:rPr>
          <w:rFonts w:hint="eastAsia" w:ascii="楷体_GB2312" w:hAnsi="楷体_GB2312" w:eastAsia="楷体_GB2312" w:cs="楷体_GB2312"/>
          <w:b/>
          <w:bCs/>
          <w:sz w:val="28"/>
          <w:szCs w:val="28"/>
        </w:rPr>
      </w:pPr>
      <w:bookmarkStart w:id="32" w:name="_Toc1150"/>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lang w:val="en-US" w:eastAsia="zh-CN"/>
        </w:rPr>
        <w:t>五</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学习评价</w:t>
      </w:r>
      <w:bookmarkEnd w:id="32"/>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1.健全综合评价</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构建了基于大数据技术的中职学生成长记录信息化平台系统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建立一生一案</w:t>
      </w:r>
      <w:r>
        <w:rPr>
          <w:rFonts w:hint="eastAsia" w:ascii="宋体" w:hAnsi="宋体" w:eastAsia="宋体" w:cs="宋体"/>
          <w:sz w:val="24"/>
          <w:szCs w:val="24"/>
        </w:rPr>
        <w:t>，从</w:t>
      </w:r>
      <w:r>
        <w:rPr>
          <w:rFonts w:hint="eastAsia" w:ascii="宋体" w:hAnsi="宋体" w:eastAsia="宋体" w:cs="宋体"/>
          <w:sz w:val="24"/>
          <w:szCs w:val="24"/>
          <w:lang w:val="en-US" w:eastAsia="zh-CN"/>
        </w:rPr>
        <w:t>知识、技能、品德、才艺、健康五</w:t>
      </w:r>
      <w:r>
        <w:rPr>
          <w:rFonts w:hint="eastAsia" w:ascii="宋体" w:hAnsi="宋体" w:eastAsia="宋体" w:cs="宋体"/>
          <w:sz w:val="24"/>
          <w:szCs w:val="24"/>
        </w:rPr>
        <w:t>个维度；收集</w:t>
      </w:r>
      <w:r>
        <w:rPr>
          <w:rFonts w:hint="eastAsia" w:ascii="宋体" w:hAnsi="宋体" w:eastAsia="宋体" w:cs="宋体"/>
          <w:sz w:val="24"/>
          <w:szCs w:val="24"/>
          <w:lang w:val="en-US" w:eastAsia="zh-CN"/>
        </w:rPr>
        <w:t>学生</w:t>
      </w:r>
      <w:r>
        <w:rPr>
          <w:rFonts w:hint="eastAsia" w:ascii="宋体" w:hAnsi="宋体" w:eastAsia="宋体" w:cs="宋体"/>
          <w:sz w:val="24"/>
          <w:szCs w:val="24"/>
        </w:rPr>
        <w:t>的基本信息、学科成绩、绩效信息、学习偏好、知识结构、行为记录</w:t>
      </w:r>
      <w:r>
        <w:rPr>
          <w:rFonts w:hint="eastAsia" w:ascii="宋体" w:hAnsi="宋体" w:eastAsia="宋体" w:cs="宋体"/>
          <w:sz w:val="24"/>
          <w:szCs w:val="24"/>
          <w:lang w:eastAsia="zh-CN"/>
        </w:rPr>
        <w:t>、</w:t>
      </w:r>
      <w:r>
        <w:rPr>
          <w:rFonts w:hint="eastAsia" w:ascii="宋体" w:hAnsi="宋体" w:eastAsia="宋体" w:cs="宋体"/>
          <w:sz w:val="24"/>
          <w:szCs w:val="24"/>
        </w:rPr>
        <w:t>校外</w:t>
      </w:r>
      <w:r>
        <w:rPr>
          <w:rFonts w:hint="eastAsia" w:ascii="宋体" w:hAnsi="宋体" w:eastAsia="宋体" w:cs="宋体"/>
          <w:sz w:val="24"/>
          <w:szCs w:val="24"/>
          <w:lang w:val="en-US" w:eastAsia="zh-CN"/>
        </w:rPr>
        <w:t>实践</w:t>
      </w:r>
      <w:r>
        <w:rPr>
          <w:rFonts w:hint="eastAsia" w:ascii="宋体" w:hAnsi="宋体" w:eastAsia="宋体" w:cs="宋体"/>
          <w:sz w:val="24"/>
          <w:szCs w:val="24"/>
        </w:rPr>
        <w:t>、艺术</w:t>
      </w:r>
      <w:r>
        <w:rPr>
          <w:rFonts w:hint="eastAsia" w:ascii="宋体" w:hAnsi="宋体" w:eastAsia="宋体" w:cs="宋体"/>
          <w:sz w:val="24"/>
          <w:szCs w:val="24"/>
          <w:lang w:val="en-US" w:eastAsia="zh-CN"/>
        </w:rPr>
        <w:t>活动</w:t>
      </w:r>
      <w:r>
        <w:rPr>
          <w:rFonts w:hint="eastAsia" w:ascii="宋体" w:hAnsi="宋体" w:eastAsia="宋体" w:cs="宋体"/>
          <w:sz w:val="24"/>
          <w:szCs w:val="24"/>
        </w:rPr>
        <w:t>、奖励处罚等</w:t>
      </w:r>
      <w:r>
        <w:rPr>
          <w:rFonts w:hint="eastAsia" w:ascii="宋体" w:hAnsi="宋体" w:eastAsia="宋体" w:cs="宋体"/>
          <w:sz w:val="24"/>
          <w:szCs w:val="24"/>
          <w:lang w:val="en-US" w:eastAsia="zh-CN"/>
        </w:rPr>
        <w:t>信息，完善</w:t>
      </w:r>
      <w:r>
        <w:rPr>
          <w:rFonts w:hint="eastAsia" w:ascii="宋体" w:hAnsi="宋体" w:eastAsia="宋体" w:cs="宋体"/>
          <w:sz w:val="24"/>
          <w:szCs w:val="24"/>
        </w:rPr>
        <w:t>学生综合</w:t>
      </w:r>
      <w:r>
        <w:rPr>
          <w:rFonts w:hint="eastAsia" w:ascii="宋体" w:hAnsi="宋体" w:eastAsia="宋体" w:cs="宋体"/>
          <w:sz w:val="24"/>
          <w:szCs w:val="24"/>
          <w:lang w:val="en-US" w:eastAsia="zh-CN"/>
        </w:rPr>
        <w:t>评价</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2.坚持结果评价</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利用经过转化过的数据，对数据进行分析处理，得出结果并输出测评报告</w:t>
      </w:r>
      <w:r>
        <w:rPr>
          <w:rFonts w:hint="eastAsia" w:ascii="宋体" w:hAnsi="宋体" w:eastAsia="宋体" w:cs="宋体"/>
          <w:sz w:val="24"/>
          <w:szCs w:val="24"/>
          <w:lang w:eastAsia="zh-CN"/>
        </w:rPr>
        <w:t>，</w:t>
      </w:r>
      <w:r>
        <w:rPr>
          <w:rFonts w:hint="eastAsia" w:ascii="宋体" w:hAnsi="宋体" w:eastAsia="宋体" w:cs="宋体"/>
          <w:sz w:val="24"/>
          <w:szCs w:val="24"/>
        </w:rPr>
        <w:t>具备过程性评价和终结性评价，包括学生的知识、心理、行为、能力、特长和潜质等多方面的报告单，并将多方面的报告单综合，最终形成“学生综合</w:t>
      </w:r>
      <w:r>
        <w:rPr>
          <w:rFonts w:hint="eastAsia" w:ascii="宋体" w:hAnsi="宋体" w:eastAsia="宋体" w:cs="宋体"/>
          <w:sz w:val="24"/>
          <w:szCs w:val="24"/>
          <w:lang w:val="en-US" w:eastAsia="zh-CN"/>
        </w:rPr>
        <w:t>素质</w:t>
      </w:r>
      <w:r>
        <w:rPr>
          <w:rFonts w:hint="eastAsia" w:ascii="宋体" w:hAnsi="宋体" w:eastAsia="宋体" w:cs="宋体"/>
          <w:sz w:val="24"/>
          <w:szCs w:val="24"/>
        </w:rPr>
        <w:t>评价报告”。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560"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3.</w:t>
      </w:r>
      <w:r>
        <w:rPr>
          <w:rFonts w:hint="eastAsia" w:ascii="宋体" w:hAnsi="宋体" w:eastAsia="宋体" w:cs="宋体"/>
          <w:b/>
          <w:bCs/>
          <w:sz w:val="28"/>
          <w:szCs w:val="28"/>
        </w:rPr>
        <w:t>改善过程评价</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w:t>
      </w:r>
      <w:r>
        <w:rPr>
          <w:rFonts w:hint="eastAsia" w:ascii="宋体" w:hAnsi="宋体" w:eastAsia="宋体" w:cs="宋体"/>
          <w:sz w:val="24"/>
          <w:szCs w:val="24"/>
          <w:lang w:val="en-US" w:eastAsia="zh-CN"/>
        </w:rPr>
        <w:t>学生自评</w:t>
      </w:r>
      <w:r>
        <w:rPr>
          <w:rFonts w:hint="eastAsia" w:ascii="宋体" w:hAnsi="宋体" w:eastAsia="宋体" w:cs="宋体"/>
          <w:sz w:val="24"/>
          <w:szCs w:val="24"/>
        </w:rPr>
        <w:t>、</w:t>
      </w:r>
      <w:r>
        <w:rPr>
          <w:rFonts w:hint="eastAsia" w:ascii="宋体" w:hAnsi="宋体" w:eastAsia="宋体" w:cs="宋体"/>
          <w:sz w:val="24"/>
          <w:szCs w:val="24"/>
          <w:lang w:val="en-US" w:eastAsia="zh-CN"/>
        </w:rPr>
        <w:t>学</w:t>
      </w:r>
      <w:r>
        <w:rPr>
          <w:rFonts w:hint="eastAsia" w:ascii="宋体" w:hAnsi="宋体" w:eastAsia="宋体" w:cs="宋体"/>
          <w:sz w:val="24"/>
          <w:szCs w:val="24"/>
        </w:rPr>
        <w:t>生互评、</w:t>
      </w:r>
      <w:r>
        <w:rPr>
          <w:rFonts w:hint="eastAsia" w:ascii="宋体" w:hAnsi="宋体" w:eastAsia="宋体" w:cs="宋体"/>
          <w:sz w:val="24"/>
          <w:szCs w:val="24"/>
          <w:lang w:val="en-US" w:eastAsia="zh-CN"/>
        </w:rPr>
        <w:t>教师评价、</w:t>
      </w:r>
      <w:r>
        <w:rPr>
          <w:rFonts w:hint="eastAsia" w:ascii="宋体" w:hAnsi="宋体" w:eastAsia="宋体" w:cs="宋体"/>
          <w:sz w:val="24"/>
          <w:szCs w:val="24"/>
        </w:rPr>
        <w:t>企业评价相结合的方式对学生的学习行为、学习能力、学习态度和合作精神等进行评价，充分体现以学生发展为本，以职业能力的形成为核心的教育评价理念。</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1</w:t>
      </w:r>
      <w:r>
        <w:rPr>
          <w:rFonts w:hint="eastAsia" w:ascii="宋体" w:hAnsi="宋体" w:cs="宋体"/>
          <w:b/>
          <w:bCs/>
          <w:sz w:val="24"/>
          <w:szCs w:val="24"/>
          <w:lang w:eastAsia="zh-CN"/>
        </w:rPr>
        <w:t>）</w:t>
      </w:r>
      <w:r>
        <w:rPr>
          <w:rFonts w:hint="eastAsia" w:ascii="宋体" w:hAnsi="宋体" w:eastAsia="宋体" w:cs="宋体"/>
          <w:b/>
          <w:bCs/>
          <w:sz w:val="24"/>
          <w:szCs w:val="24"/>
        </w:rPr>
        <w:t>学生自评：</w:t>
      </w:r>
      <w:r>
        <w:rPr>
          <w:rFonts w:hint="eastAsia" w:ascii="宋体" w:hAnsi="宋体" w:eastAsia="宋体" w:cs="宋体"/>
          <w:sz w:val="24"/>
          <w:szCs w:val="24"/>
        </w:rPr>
        <w:t>进入学生成长记录个人空间，亲自记录学习者的基本信息、兴趣特征、学习偏好、知识结构、学习心得等等。记录自己在中职阶段成长发展的足迹，进行自我反思和评价，充分发挥了中职学生的“主体”作用。</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2</w:t>
      </w:r>
      <w:r>
        <w:rPr>
          <w:rFonts w:hint="eastAsia" w:ascii="宋体" w:hAnsi="宋体" w:cs="宋体"/>
          <w:b/>
          <w:bCs/>
          <w:sz w:val="24"/>
          <w:szCs w:val="24"/>
          <w:lang w:eastAsia="zh-CN"/>
        </w:rPr>
        <w:t>）</w:t>
      </w:r>
      <w:r>
        <w:rPr>
          <w:rFonts w:hint="eastAsia" w:ascii="宋体" w:hAnsi="宋体" w:eastAsia="宋体" w:cs="宋体"/>
          <w:b/>
          <w:bCs/>
          <w:sz w:val="24"/>
          <w:szCs w:val="24"/>
        </w:rPr>
        <w:t>学生互评：</w:t>
      </w:r>
      <w:r>
        <w:rPr>
          <w:rFonts w:hint="eastAsia" w:ascii="宋体" w:hAnsi="宋体" w:eastAsia="宋体" w:cs="宋体"/>
          <w:sz w:val="24"/>
          <w:szCs w:val="24"/>
        </w:rPr>
        <w:t>通过主题讨论、交流、问答互动、作品互评等，实现学生与同学之间的分享交流，帮助他们更好地了解自我、分析自我、规划自我、激励自我。</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3</w:t>
      </w:r>
      <w:r>
        <w:rPr>
          <w:rFonts w:hint="eastAsia" w:ascii="宋体" w:hAnsi="宋体" w:cs="宋体"/>
          <w:b/>
          <w:bCs/>
          <w:sz w:val="24"/>
          <w:szCs w:val="24"/>
          <w:lang w:eastAsia="zh-CN"/>
        </w:rPr>
        <w:t>）</w:t>
      </w:r>
      <w:r>
        <w:rPr>
          <w:rFonts w:hint="eastAsia" w:ascii="宋体" w:hAnsi="宋体" w:eastAsia="宋体" w:cs="宋体"/>
          <w:b/>
          <w:bCs/>
          <w:sz w:val="24"/>
          <w:szCs w:val="24"/>
        </w:rPr>
        <w:t>教师评价：</w:t>
      </w:r>
      <w:r>
        <w:rPr>
          <w:rFonts w:hint="eastAsia" w:ascii="宋体" w:hAnsi="宋体" w:eastAsia="宋体" w:cs="宋体"/>
          <w:sz w:val="24"/>
          <w:szCs w:val="24"/>
        </w:rPr>
        <w:t>将日常的学生学科成绩作为形成性评价记录下来。包括随堂练习、同步作业等练习性测评和期中测试、期末测试、模拟测试等课程考试成绩。</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4</w:t>
      </w:r>
      <w:r>
        <w:rPr>
          <w:rFonts w:hint="eastAsia" w:ascii="宋体" w:hAnsi="宋体" w:cs="宋体"/>
          <w:b/>
          <w:bCs/>
          <w:sz w:val="24"/>
          <w:szCs w:val="24"/>
          <w:lang w:eastAsia="zh-CN"/>
        </w:rPr>
        <w:t>）</w:t>
      </w:r>
      <w:r>
        <w:rPr>
          <w:rFonts w:hint="eastAsia" w:ascii="宋体" w:hAnsi="宋体" w:eastAsia="宋体" w:cs="宋体"/>
          <w:b/>
          <w:bCs/>
          <w:sz w:val="24"/>
          <w:szCs w:val="24"/>
        </w:rPr>
        <w:t>企业评价</w:t>
      </w:r>
      <w:r>
        <w:rPr>
          <w:rFonts w:hint="eastAsia" w:ascii="宋体" w:hAnsi="宋体" w:eastAsia="宋体" w:cs="宋体"/>
          <w:sz w:val="24"/>
          <w:szCs w:val="24"/>
        </w:rPr>
        <w:t>：在校企合作、工学结合、顶岗实习等社会实践活动中，</w:t>
      </w:r>
      <w:r>
        <w:rPr>
          <w:rFonts w:hint="eastAsia" w:ascii="宋体" w:hAnsi="宋体" w:eastAsia="宋体" w:cs="宋体"/>
          <w:sz w:val="24"/>
          <w:szCs w:val="24"/>
          <w:lang w:val="en-US" w:eastAsia="zh-CN"/>
        </w:rPr>
        <w:t>企业导师在完</w:t>
      </w:r>
      <w:r>
        <w:rPr>
          <w:rFonts w:hint="eastAsia" w:ascii="宋体" w:hAnsi="宋体" w:eastAsia="宋体" w:cs="宋体"/>
          <w:sz w:val="24"/>
          <w:szCs w:val="24"/>
        </w:rPr>
        <w:t>成项目后对学生完成任务中涉及的各项工作内容的评价。</w:t>
      </w:r>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4.落实增值评价</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构建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一生一档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成长记录袋，</w:t>
      </w:r>
      <w:r>
        <w:rPr>
          <w:rFonts w:hint="eastAsia" w:ascii="宋体" w:hAnsi="宋体" w:eastAsia="宋体" w:cs="宋体"/>
          <w:sz w:val="24"/>
          <w:szCs w:val="24"/>
        </w:rPr>
        <w:t>通过</w:t>
      </w:r>
      <w:r>
        <w:rPr>
          <w:rFonts w:hint="eastAsia" w:ascii="宋体" w:hAnsi="宋体" w:eastAsia="宋体" w:cs="宋体"/>
          <w:sz w:val="24"/>
          <w:szCs w:val="24"/>
          <w:lang w:val="en-US" w:eastAsia="zh-CN"/>
        </w:rPr>
        <w:t>数据比对，探索增值评价，关注学生个体进步与成长。</w:t>
      </w:r>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outlineLvl w:val="1"/>
        <w:rPr>
          <w:rFonts w:hint="eastAsia" w:ascii="楷体_GB2312" w:hAnsi="楷体_GB2312" w:eastAsia="楷体_GB2312" w:cs="楷体_GB2312"/>
          <w:b/>
          <w:bCs/>
          <w:sz w:val="28"/>
          <w:szCs w:val="28"/>
        </w:rPr>
      </w:pPr>
      <w:bookmarkStart w:id="33" w:name="_Toc30248"/>
      <w:r>
        <w:rPr>
          <w:rFonts w:hint="eastAsia" w:ascii="楷体_GB2312" w:hAnsi="楷体_GB2312" w:eastAsia="楷体_GB2312" w:cs="楷体_GB2312"/>
          <w:b/>
          <w:bCs/>
          <w:sz w:val="28"/>
          <w:szCs w:val="28"/>
        </w:rPr>
        <w:t>（六）质量管理</w:t>
      </w:r>
      <w:bookmarkEnd w:id="33"/>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cs="宋体"/>
          <w:b/>
          <w:bCs/>
          <w:sz w:val="28"/>
          <w:szCs w:val="28"/>
          <w:lang w:eastAsia="zh-CN"/>
        </w:rPr>
        <w:t>.</w:t>
      </w:r>
      <w:r>
        <w:rPr>
          <w:rFonts w:hint="eastAsia" w:ascii="宋体" w:hAnsi="宋体" w:eastAsia="宋体" w:cs="宋体"/>
          <w:b/>
          <w:bCs/>
          <w:sz w:val="28"/>
          <w:szCs w:val="28"/>
        </w:rPr>
        <w:t>组织机构</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成立由企业专家、教育专家和骨干教师组成的专业建设委员会，指导专业建设；成立教学管理团队，对教学质量进行全面监控和评估。</w:t>
      </w:r>
    </w:p>
    <w:p>
      <w:pPr>
        <w:keepNext w:val="0"/>
        <w:keepLines w:val="0"/>
        <w:pageBreakBefore w:val="0"/>
        <w:widowControl w:val="0"/>
        <w:kinsoku/>
        <w:wordWrap/>
        <w:overflowPunct/>
        <w:topLinePunct w:val="0"/>
        <w:autoSpaceDE/>
        <w:autoSpaceDN/>
        <w:bidi w:val="0"/>
        <w:adjustRightInd/>
        <w:snapToGrid w:val="0"/>
        <w:spacing w:line="240" w:lineRule="auto"/>
        <w:ind w:leftChars="0"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cs="宋体"/>
          <w:b/>
          <w:bCs/>
          <w:sz w:val="28"/>
          <w:szCs w:val="28"/>
          <w:lang w:eastAsia="zh-CN"/>
        </w:rPr>
        <w:t>.</w:t>
      </w:r>
      <w:r>
        <w:rPr>
          <w:rFonts w:hint="eastAsia" w:ascii="宋体" w:hAnsi="宋体" w:eastAsia="宋体" w:cs="宋体"/>
          <w:b/>
          <w:bCs/>
          <w:sz w:val="28"/>
          <w:szCs w:val="28"/>
        </w:rPr>
        <w:t>课堂教学质量监控</w:t>
      </w:r>
    </w:p>
    <w:p>
      <w:pPr>
        <w:keepNext w:val="0"/>
        <w:keepLines w:val="0"/>
        <w:pageBreakBefore w:val="0"/>
        <w:widowControl w:val="0"/>
        <w:kinsoku/>
        <w:wordWrap/>
        <w:overflowPunct/>
        <w:topLinePunct w:val="0"/>
        <w:autoSpaceDE/>
        <w:autoSpaceDN/>
        <w:bidi w:val="0"/>
        <w:adjustRightInd/>
        <w:snapToGrid w:val="0"/>
        <w:spacing w:line="24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（1）课堂教学教师工作状态评分细则（权重40%）</w:t>
      </w:r>
    </w:p>
    <w:p>
      <w:pPr>
        <w:spacing w:line="240" w:lineRule="auto"/>
        <w:ind w:firstLine="560" w:firstLineChars="200"/>
        <w:jc w:val="center"/>
        <w:rPr>
          <w:rFonts w:hint="eastAsia" w:ascii="宋体" w:hAnsi="宋体" w:eastAsia="宋体" w:cs="宋体"/>
          <w:b/>
          <w:bCs/>
          <w:sz w:val="28"/>
          <w:szCs w:val="28"/>
        </w:rPr>
      </w:pPr>
      <w:r>
        <w:rPr>
          <w:rFonts w:hint="eastAsia" w:ascii="宋体" w:hAnsi="宋体" w:eastAsia="宋体" w:cs="宋体"/>
          <w:b/>
          <w:bCs/>
          <w:sz w:val="28"/>
          <w:szCs w:val="28"/>
        </w:rPr>
        <w:t>课堂教学教师工作状态评价表</w:t>
      </w:r>
    </w:p>
    <w:tbl>
      <w:tblPr>
        <w:tblStyle w:val="25"/>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887"/>
        <w:gridCol w:w="2745"/>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293"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评估</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8266" w:type="dxa"/>
            <w:gridSpan w:val="3"/>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评估标准与等级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293" w:type="dxa"/>
            <w:vMerge w:val="continue"/>
            <w:vAlign w:val="center"/>
          </w:tcPr>
          <w:p>
            <w:pPr>
              <w:keepNext w:val="0"/>
              <w:keepLines w:val="0"/>
              <w:suppressLineNumbers w:val="0"/>
              <w:spacing w:before="0" w:beforeAutospacing="0" w:after="0" w:afterAutospacing="0" w:line="240" w:lineRule="auto"/>
              <w:ind w:left="0" w:right="0" w:firstLine="420" w:firstLineChars="200"/>
              <w:jc w:val="center"/>
              <w:rPr>
                <w:rFonts w:hint="eastAsia" w:ascii="宋体" w:hAnsi="宋体" w:eastAsia="宋体" w:cs="宋体"/>
                <w:b/>
                <w:bCs/>
                <w:sz w:val="21"/>
                <w:szCs w:val="21"/>
              </w:rPr>
            </w:pPr>
          </w:p>
        </w:tc>
        <w:tc>
          <w:tcPr>
            <w:tcW w:w="288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A级</w:t>
            </w:r>
          </w:p>
        </w:tc>
        <w:tc>
          <w:tcPr>
            <w:tcW w:w="274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B级</w:t>
            </w:r>
          </w:p>
        </w:tc>
        <w:tc>
          <w:tcPr>
            <w:tcW w:w="263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29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仪表</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2887"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服装整齐，着正装。</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274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未着正装，但服装整齐、得体。（12-16分）</w:t>
            </w:r>
          </w:p>
        </w:tc>
        <w:tc>
          <w:tcPr>
            <w:tcW w:w="2634"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服装不整齐。（&lt;12分）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9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精神状态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2887"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精神集中，情绪饱满。</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 xml:space="preserve">（16-20分） </w:t>
            </w:r>
          </w:p>
        </w:tc>
        <w:tc>
          <w:tcPr>
            <w:tcW w:w="274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神情不自然，比较紧张。（12-16分）</w:t>
            </w:r>
          </w:p>
        </w:tc>
        <w:tc>
          <w:tcPr>
            <w:tcW w:w="2634"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无精打采，心不在焉。</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129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形体姿态</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2887"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始终保持良好站姿，没有多余的小动作，并能通过得体的肢体语言调动学生。</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274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保持良好姿态，没有太多的小动作。（12-16分）</w:t>
            </w:r>
          </w:p>
        </w:tc>
        <w:tc>
          <w:tcPr>
            <w:tcW w:w="2634"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姿态不端正、不得体，有很多不良小动作。</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29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语言表达</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2887"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吐字清晰，语速、音量适中并起伏变化，富有感染力。</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274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吐字清晰，音量适中。</w:t>
            </w:r>
          </w:p>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（12-16分）</w:t>
            </w:r>
          </w:p>
        </w:tc>
        <w:tc>
          <w:tcPr>
            <w:tcW w:w="2634"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语音含糊、音量过高或过低，语速快或慢，学员听不清。（&lt;12分）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教学过程</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2887"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教学方法运用得当，师生互动好。（16-20分）</w:t>
            </w:r>
          </w:p>
        </w:tc>
        <w:tc>
          <w:tcPr>
            <w:tcW w:w="274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教学方法恰当，师生互动较好。（12-16分）</w:t>
            </w:r>
          </w:p>
        </w:tc>
        <w:tc>
          <w:tcPr>
            <w:tcW w:w="2634"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教学方法运用欠合理，师生互动少（&lt;12分）</w:t>
            </w:r>
          </w:p>
        </w:tc>
      </w:tr>
    </w:tbl>
    <w:p>
      <w:pPr>
        <w:numPr>
          <w:ilvl w:val="0"/>
          <w:numId w:val="8"/>
        </w:numPr>
        <w:spacing w:line="52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教师课堂教学评分细则（权重60%）</w:t>
      </w:r>
    </w:p>
    <w:tbl>
      <w:tblPr>
        <w:tblStyle w:val="25"/>
        <w:tblpPr w:leftFromText="180" w:rightFromText="180" w:vertAnchor="text" w:horzAnchor="page" w:tblpX="1465" w:tblpY="569"/>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5460"/>
        <w:gridCol w:w="1020"/>
        <w:gridCol w:w="111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atLeast"/>
        </w:trPr>
        <w:tc>
          <w:tcPr>
            <w:tcW w:w="1270"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评估</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5460"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评估内容</w:t>
            </w:r>
          </w:p>
        </w:tc>
        <w:tc>
          <w:tcPr>
            <w:tcW w:w="2955" w:type="dxa"/>
            <w:gridSpan w:val="3"/>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0"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p>
        </w:tc>
        <w:tc>
          <w:tcPr>
            <w:tcW w:w="5460" w:type="dxa"/>
            <w:vMerge w:val="continue"/>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
                <w:bCs/>
                <w:sz w:val="21"/>
                <w:szCs w:val="21"/>
              </w:rPr>
            </w:pPr>
          </w:p>
        </w:tc>
        <w:tc>
          <w:tcPr>
            <w:tcW w:w="102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A级</w:t>
            </w:r>
          </w:p>
        </w:tc>
        <w:tc>
          <w:tcPr>
            <w:tcW w:w="111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B级</w:t>
            </w:r>
          </w:p>
        </w:tc>
        <w:tc>
          <w:tcPr>
            <w:tcW w:w="82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27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教学目的</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546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color w:val="313131"/>
                <w:sz w:val="21"/>
                <w:szCs w:val="21"/>
                <w:shd w:val="clear" w:color="auto" w:fill="FFFFFF"/>
              </w:rPr>
              <w:t>目标明确具体，符合课程标准和学生实际</w:t>
            </w:r>
            <w:r>
              <w:rPr>
                <w:rFonts w:hint="eastAsia" w:ascii="宋体" w:hAnsi="宋体" w:cs="宋体"/>
                <w:color w:val="313131"/>
                <w:sz w:val="21"/>
                <w:szCs w:val="21"/>
                <w:shd w:val="clear" w:color="auto" w:fill="FFFFFF"/>
                <w:lang w:eastAsia="zh-CN"/>
              </w:rPr>
              <w:t>，</w:t>
            </w:r>
            <w:r>
              <w:rPr>
                <w:rFonts w:hint="eastAsia" w:ascii="宋体" w:hAnsi="宋体" w:eastAsia="宋体" w:cs="宋体"/>
                <w:color w:val="313131"/>
                <w:sz w:val="21"/>
                <w:szCs w:val="21"/>
                <w:shd w:val="clear" w:color="auto" w:fill="FFFFFF"/>
              </w:rPr>
              <w:t>目标体现学科性和专业化的统一</w:t>
            </w:r>
            <w:r>
              <w:rPr>
                <w:rFonts w:hint="eastAsia" w:ascii="宋体" w:hAnsi="宋体" w:cs="宋体"/>
                <w:color w:val="313131"/>
                <w:sz w:val="21"/>
                <w:szCs w:val="21"/>
                <w:shd w:val="clear" w:color="auto" w:fill="FFFFFF"/>
                <w:lang w:eastAsia="zh-CN"/>
              </w:rPr>
              <w:t>，</w:t>
            </w:r>
            <w:r>
              <w:rPr>
                <w:rFonts w:hint="eastAsia" w:ascii="宋体" w:hAnsi="宋体" w:eastAsia="宋体" w:cs="宋体"/>
                <w:color w:val="313131"/>
                <w:sz w:val="21"/>
                <w:szCs w:val="21"/>
                <w:shd w:val="clear" w:color="auto" w:fill="FFFFFF"/>
              </w:rPr>
              <w:t xml:space="preserve"> 让学生了解目标，并对学生达到目标的过程有分析和认识</w:t>
            </w:r>
          </w:p>
        </w:tc>
        <w:tc>
          <w:tcPr>
            <w:tcW w:w="102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111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10-15分</w:t>
            </w:r>
          </w:p>
        </w:tc>
        <w:tc>
          <w:tcPr>
            <w:tcW w:w="82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127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教学方法</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546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color w:val="313131"/>
                <w:sz w:val="21"/>
                <w:szCs w:val="21"/>
                <w:shd w:val="clear" w:color="auto" w:fill="FFFFFF"/>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2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111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10-15分</w:t>
            </w:r>
          </w:p>
        </w:tc>
        <w:tc>
          <w:tcPr>
            <w:tcW w:w="82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教学内容</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546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color w:val="313131"/>
                <w:sz w:val="21"/>
                <w:szCs w:val="21"/>
                <w:shd w:val="clear" w:color="auto" w:fill="FFFFFF"/>
              </w:rPr>
              <w:t>教学文件齐全，任务书、工作页设计合理；内容正确，无知识性、科学性错误；教学重点突出，难点处理得当；结合学生生活和社会实际，联系专业，适时适量拓展；内容符合学科特点，符合学生认知水平</w:t>
            </w:r>
          </w:p>
        </w:tc>
        <w:tc>
          <w:tcPr>
            <w:tcW w:w="102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111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10-15分</w:t>
            </w:r>
          </w:p>
        </w:tc>
        <w:tc>
          <w:tcPr>
            <w:tcW w:w="82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教学程序</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546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color w:val="313131"/>
                <w:sz w:val="21"/>
                <w:szCs w:val="21"/>
                <w:shd w:val="clear" w:color="auto" w:fill="FFFFFF"/>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2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111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10-15分</w:t>
            </w:r>
          </w:p>
        </w:tc>
        <w:tc>
          <w:tcPr>
            <w:tcW w:w="82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27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教学效果</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546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color w:val="313131"/>
                <w:sz w:val="21"/>
                <w:szCs w:val="21"/>
                <w:shd w:val="clear" w:color="auto" w:fill="FFFFFF"/>
              </w:rPr>
              <w:t>课堂效果评价形式灵活，评价表设计合理；教学成效显著，目标达成度高；课堂气氛和谐，学生思维活跃，参与意识强，注意力集中。</w:t>
            </w:r>
          </w:p>
        </w:tc>
        <w:tc>
          <w:tcPr>
            <w:tcW w:w="102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16-20分</w:t>
            </w:r>
          </w:p>
        </w:tc>
        <w:tc>
          <w:tcPr>
            <w:tcW w:w="1110"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10-15分</w:t>
            </w:r>
          </w:p>
        </w:tc>
        <w:tc>
          <w:tcPr>
            <w:tcW w:w="82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&lt;10分</w:t>
            </w:r>
          </w:p>
        </w:tc>
      </w:tr>
    </w:tbl>
    <w:p>
      <w:pPr>
        <w:spacing w:line="520" w:lineRule="exact"/>
        <w:ind w:firstLine="560" w:firstLineChars="200"/>
        <w:jc w:val="center"/>
        <w:rPr>
          <w:rFonts w:hint="eastAsia" w:ascii="宋体" w:hAnsi="宋体" w:eastAsia="宋体" w:cs="宋体"/>
          <w:b/>
          <w:bCs/>
          <w:sz w:val="24"/>
          <w:szCs w:val="24"/>
        </w:rPr>
      </w:pPr>
      <w:r>
        <w:rPr>
          <w:rFonts w:hint="eastAsia" w:ascii="宋体" w:hAnsi="宋体" w:eastAsia="宋体" w:cs="宋体"/>
          <w:b/>
          <w:bCs/>
          <w:sz w:val="28"/>
          <w:szCs w:val="28"/>
        </w:rPr>
        <w:t>教师课堂教学评价表</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2"/>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cs="宋体"/>
          <w:b/>
          <w:bCs/>
          <w:sz w:val="28"/>
          <w:szCs w:val="28"/>
          <w:lang w:eastAsia="zh-CN"/>
        </w:rPr>
        <w:t>.</w:t>
      </w:r>
      <w:r>
        <w:rPr>
          <w:rFonts w:hint="eastAsia" w:ascii="宋体" w:hAnsi="宋体" w:eastAsia="宋体" w:cs="宋体"/>
          <w:b/>
          <w:bCs/>
          <w:sz w:val="28"/>
          <w:szCs w:val="28"/>
        </w:rPr>
        <w:t>实践教学质量监控</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采取过程性评价和成果考核相结合的方式，通过定期检查和抽查，对实践教学合理评价。</w:t>
      </w:r>
    </w:p>
    <w:p>
      <w:pPr>
        <w:spacing w:line="520" w:lineRule="exact"/>
        <w:ind w:firstLine="560" w:firstLineChars="200"/>
        <w:jc w:val="center"/>
        <w:rPr>
          <w:rFonts w:hint="eastAsia" w:ascii="宋体" w:hAnsi="宋体" w:eastAsia="宋体" w:cs="宋体"/>
          <w:b/>
          <w:bCs/>
          <w:sz w:val="28"/>
          <w:szCs w:val="28"/>
        </w:rPr>
      </w:pPr>
      <w:r>
        <w:rPr>
          <w:rFonts w:hint="eastAsia" w:ascii="宋体" w:hAnsi="宋体" w:eastAsia="宋体" w:cs="宋体"/>
          <w:b/>
          <w:bCs/>
          <w:sz w:val="28"/>
          <w:szCs w:val="28"/>
        </w:rPr>
        <w:t>实训教学质量评价表</w:t>
      </w:r>
    </w:p>
    <w:tbl>
      <w:tblPr>
        <w:tblStyle w:val="25"/>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166"/>
        <w:gridCol w:w="1104"/>
        <w:gridCol w:w="94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4"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166" w:type="dxa"/>
            <w:vMerge w:val="restart"/>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评价内容</w:t>
            </w:r>
          </w:p>
        </w:tc>
        <w:tc>
          <w:tcPr>
            <w:tcW w:w="2926" w:type="dxa"/>
            <w:gridSpan w:val="3"/>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4"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p>
        </w:tc>
        <w:tc>
          <w:tcPr>
            <w:tcW w:w="5166"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A级</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B级</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教学文件齐全（包括实训指导书、适用的实训设备、工作页等）</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实训室整齐，设施、材料齐全，设备完善，完善率95%以上。</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内容符合教学目标、贴近职业岗位能力要求，内容充实、容量适当。</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注重与学生的交流、互动，能充分调动学生实训的积极性。注重能力培养和技能训练，学生有充分的动手和试讲机会。</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实训步骤紧凑，各阶段时间分配合理，效率高。</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实训过程中指导认真，注意培养学生的创新意识，引导学生进行方法和手段的创新，注意职业素质教育。</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组织科学合理，学生能够得到充分的训练。</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教学纪律好，严格要求，学生都能认真操作，认真记录实训日志，注意安全教育。</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有规范的实训报告、实训总结或上课工作页，教师及时、认真批改、修改，批改、修改率为100%。</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516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重视对学生实践能力和创新精神的培养，效果良好，学生能全部掌握实训内容。</w:t>
            </w:r>
          </w:p>
        </w:tc>
        <w:tc>
          <w:tcPr>
            <w:tcW w:w="11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8-10分</w:t>
            </w:r>
          </w:p>
        </w:tc>
        <w:tc>
          <w:tcPr>
            <w:tcW w:w="9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6-8分</w:t>
            </w:r>
          </w:p>
        </w:tc>
        <w:tc>
          <w:tcPr>
            <w:tcW w:w="87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&lt;6分</w:t>
            </w:r>
          </w:p>
        </w:tc>
      </w:tr>
    </w:tbl>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outlineLvl w:val="0"/>
        <w:rPr>
          <w:rFonts w:hint="eastAsia" w:ascii="黑体" w:hAnsi="黑体" w:eastAsia="黑体" w:cs="黑体"/>
          <w:b w:val="0"/>
          <w:bCs w:val="0"/>
          <w:sz w:val="32"/>
          <w:szCs w:val="32"/>
        </w:rPr>
      </w:pPr>
      <w:bookmarkStart w:id="34" w:name="_Toc10664"/>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、毕业要求</w:t>
      </w:r>
      <w:bookmarkEnd w:id="34"/>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lang w:val="en-US" w:eastAsia="zh-CN"/>
        </w:rPr>
      </w:pPr>
      <w:bookmarkStart w:id="35" w:name="_Toc32737"/>
      <w:r>
        <w:rPr>
          <w:rFonts w:hint="eastAsia" w:ascii="楷体_GB2312" w:hAnsi="楷体_GB2312" w:eastAsia="楷体_GB2312" w:cs="楷体_GB2312"/>
          <w:b/>
          <w:bCs/>
          <w:sz w:val="28"/>
          <w:szCs w:val="28"/>
          <w:lang w:val="en-US" w:eastAsia="zh-CN"/>
        </w:rPr>
        <w:t>（一）成绩要求</w:t>
      </w:r>
      <w:bookmarkEnd w:id="35"/>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1.参加中等职业学校学业水平考试，公共基础知识（含德育、语文、数学、英语、计算机应用基础）I卷、专业基础知识I卷、专业技能考试成绩均达到的合格以上。</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．修完本专业教学计划中所有课程的学习，成绩全部合格。</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．参加半年以上的顶岗实习并成绩合格。</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1"/>
        <w:rPr>
          <w:rFonts w:hint="eastAsia" w:ascii="楷体_GB2312" w:hAnsi="楷体_GB2312" w:eastAsia="楷体_GB2312" w:cs="楷体_GB2312"/>
          <w:b/>
          <w:bCs/>
          <w:sz w:val="28"/>
          <w:szCs w:val="28"/>
          <w:lang w:val="en-US" w:eastAsia="zh-CN"/>
        </w:rPr>
      </w:pPr>
      <w:bookmarkStart w:id="36" w:name="_Toc19578"/>
      <w:r>
        <w:rPr>
          <w:rFonts w:hint="eastAsia" w:ascii="楷体_GB2312" w:hAnsi="楷体_GB2312" w:eastAsia="楷体_GB2312" w:cs="楷体_GB2312"/>
          <w:b/>
          <w:bCs/>
          <w:sz w:val="28"/>
          <w:szCs w:val="28"/>
          <w:lang w:val="en-US" w:eastAsia="zh-CN"/>
        </w:rPr>
        <w:t>（二）证书条件</w:t>
      </w:r>
      <w:bookmarkEnd w:id="36"/>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学生在学习期间需获得国家教育部颁发的《中等职业学校毕业证书》，根据教育部关于1+X证书的相关要求，学生在校期间至少取得一本由国家劳动和社会保障部颁发的职业资格证书，如《幼儿照护》。</w:t>
      </w:r>
    </w:p>
    <w:sectPr>
      <w:pgSz w:w="11906" w:h="16838"/>
      <w:pgMar w:top="1440" w:right="1797" w:bottom="1440" w:left="1644"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19871-F27B-4C7E-A8D0-38C157BE5E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B30D1A-C605-4661-9B7A-74866096F84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汉仪蝶语体简">
    <w:panose1 w:val="02010600000101010101"/>
    <w:charset w:val="86"/>
    <w:family w:val="auto"/>
    <w:pitch w:val="default"/>
    <w:sig w:usb0="00000001" w:usb1="080E0800" w:usb2="00000002" w:usb3="00000000" w:csb0="00040000" w:csb1="00000000"/>
    <w:embedRegular r:id="rId3" w:fontKey="{4A5C21DD-ED5A-4A2E-B140-2C0DC0FF3774}"/>
  </w:font>
  <w:font w:name="方正小标宋简体">
    <w:panose1 w:val="03000509000000000000"/>
    <w:charset w:val="86"/>
    <w:family w:val="auto"/>
    <w:pitch w:val="default"/>
    <w:sig w:usb0="00000001" w:usb1="080E0000" w:usb2="00000000" w:usb3="00000000" w:csb0="00040000" w:csb1="00000000"/>
    <w:embedRegular r:id="rId4" w:fontKey="{B31D898D-412B-4BFB-8F90-49559E3CB13D}"/>
  </w:font>
  <w:font w:name="楷体_GB2312">
    <w:panose1 w:val="02010609030101010101"/>
    <w:charset w:val="86"/>
    <w:family w:val="auto"/>
    <w:pitch w:val="default"/>
    <w:sig w:usb0="00000001" w:usb1="080E0000" w:usb2="00000000" w:usb3="00000000" w:csb0="00040000" w:csb1="00000000"/>
    <w:embedRegular r:id="rId5" w:fontKey="{1715A165-C59C-487B-A8EA-F826B9F6210D}"/>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6" w:fontKey="{126EC735-C52F-4B35-8542-706623CDC372}"/>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361BE"/>
    <w:multiLevelType w:val="singleLevel"/>
    <w:tmpl w:val="8BB361BE"/>
    <w:lvl w:ilvl="0" w:tentative="0">
      <w:start w:val="1"/>
      <w:numFmt w:val="decimal"/>
      <w:lvlText w:val="%1."/>
      <w:lvlJc w:val="left"/>
      <w:pPr>
        <w:tabs>
          <w:tab w:val="left" w:pos="312"/>
        </w:tabs>
      </w:pPr>
    </w:lvl>
  </w:abstractNum>
  <w:abstractNum w:abstractNumId="1">
    <w:nsid w:val="8BCCEC0E"/>
    <w:multiLevelType w:val="singleLevel"/>
    <w:tmpl w:val="8BCCEC0E"/>
    <w:lvl w:ilvl="0" w:tentative="0">
      <w:start w:val="9"/>
      <w:numFmt w:val="chineseCounting"/>
      <w:suff w:val="nothing"/>
      <w:lvlText w:val="%1、"/>
      <w:lvlJc w:val="left"/>
      <w:rPr>
        <w:rFonts w:hint="eastAsia"/>
      </w:rPr>
    </w:lvl>
  </w:abstractNum>
  <w:abstractNum w:abstractNumId="2">
    <w:nsid w:val="A5E291C2"/>
    <w:multiLevelType w:val="singleLevel"/>
    <w:tmpl w:val="A5E291C2"/>
    <w:lvl w:ilvl="0" w:tentative="0">
      <w:start w:val="2"/>
      <w:numFmt w:val="decimal"/>
      <w:lvlText w:val="%1."/>
      <w:lvlJc w:val="left"/>
      <w:pPr>
        <w:tabs>
          <w:tab w:val="left" w:pos="312"/>
        </w:tabs>
      </w:pPr>
    </w:lvl>
  </w:abstractNum>
  <w:abstractNum w:abstractNumId="3">
    <w:nsid w:val="EA8C8D0B"/>
    <w:multiLevelType w:val="singleLevel"/>
    <w:tmpl w:val="EA8C8D0B"/>
    <w:lvl w:ilvl="0" w:tentative="0">
      <w:start w:val="2"/>
      <w:numFmt w:val="decimal"/>
      <w:suff w:val="nothing"/>
      <w:lvlText w:val="（%1）"/>
      <w:lvlJc w:val="left"/>
    </w:lvl>
  </w:abstractNum>
  <w:abstractNum w:abstractNumId="4">
    <w:nsid w:val="0DB29208"/>
    <w:multiLevelType w:val="singleLevel"/>
    <w:tmpl w:val="0DB29208"/>
    <w:lvl w:ilvl="0" w:tentative="0">
      <w:start w:val="4"/>
      <w:numFmt w:val="chineseCounting"/>
      <w:suff w:val="nothing"/>
      <w:lvlText w:val="%1、"/>
      <w:lvlJc w:val="left"/>
      <w:rPr>
        <w:rFonts w:hint="eastAsia"/>
      </w:rPr>
    </w:lvl>
  </w:abstractNum>
  <w:abstractNum w:abstractNumId="5">
    <w:nsid w:val="706B5373"/>
    <w:multiLevelType w:val="singleLevel"/>
    <w:tmpl w:val="706B5373"/>
    <w:lvl w:ilvl="0" w:tentative="0">
      <w:start w:val="1"/>
      <w:numFmt w:val="decimal"/>
      <w:suff w:val="nothing"/>
      <w:lvlText w:val="%1-"/>
      <w:lvlJc w:val="left"/>
    </w:lvl>
  </w:abstractNum>
  <w:abstractNum w:abstractNumId="6">
    <w:nsid w:val="71417518"/>
    <w:multiLevelType w:val="singleLevel"/>
    <w:tmpl w:val="71417518"/>
    <w:lvl w:ilvl="0" w:tentative="0">
      <w:start w:val="9"/>
      <w:numFmt w:val="decimal"/>
      <w:lvlText w:val="%1."/>
      <w:lvlJc w:val="left"/>
      <w:pPr>
        <w:tabs>
          <w:tab w:val="left" w:pos="312"/>
        </w:tabs>
      </w:pPr>
    </w:lvl>
  </w:abstractNum>
  <w:abstractNum w:abstractNumId="7">
    <w:nsid w:val="7F3529DC"/>
    <w:multiLevelType w:val="singleLevel"/>
    <w:tmpl w:val="7F3529DC"/>
    <w:lvl w:ilvl="0" w:tentative="0">
      <w:start w:val="2"/>
      <w:numFmt w:val="decimal"/>
      <w:lvlText w:val="%1."/>
      <w:lvlJc w:val="left"/>
      <w:pPr>
        <w:tabs>
          <w:tab w:val="left" w:pos="312"/>
        </w:tabs>
      </w:p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2D"/>
    <w:rsid w:val="00010F16"/>
    <w:rsid w:val="000378E8"/>
    <w:rsid w:val="0005263C"/>
    <w:rsid w:val="000B6EA2"/>
    <w:rsid w:val="000C1E6D"/>
    <w:rsid w:val="000D772E"/>
    <w:rsid w:val="000E3022"/>
    <w:rsid w:val="000F1C66"/>
    <w:rsid w:val="0010323A"/>
    <w:rsid w:val="00115F6F"/>
    <w:rsid w:val="001364F7"/>
    <w:rsid w:val="00144D53"/>
    <w:rsid w:val="00156F53"/>
    <w:rsid w:val="00171E8E"/>
    <w:rsid w:val="001748D0"/>
    <w:rsid w:val="0019256A"/>
    <w:rsid w:val="001929E3"/>
    <w:rsid w:val="001A55A8"/>
    <w:rsid w:val="001C21D3"/>
    <w:rsid w:val="002242E7"/>
    <w:rsid w:val="00231027"/>
    <w:rsid w:val="00231B66"/>
    <w:rsid w:val="00282191"/>
    <w:rsid w:val="002A2FBA"/>
    <w:rsid w:val="002D53E1"/>
    <w:rsid w:val="00306A87"/>
    <w:rsid w:val="00322C48"/>
    <w:rsid w:val="0035170D"/>
    <w:rsid w:val="003633EF"/>
    <w:rsid w:val="00372ADF"/>
    <w:rsid w:val="0038682B"/>
    <w:rsid w:val="003C094E"/>
    <w:rsid w:val="003E4D52"/>
    <w:rsid w:val="0042402E"/>
    <w:rsid w:val="0046596E"/>
    <w:rsid w:val="00472CBA"/>
    <w:rsid w:val="00474928"/>
    <w:rsid w:val="004812B5"/>
    <w:rsid w:val="00486632"/>
    <w:rsid w:val="004C2D7D"/>
    <w:rsid w:val="004C5743"/>
    <w:rsid w:val="004E114F"/>
    <w:rsid w:val="004E567F"/>
    <w:rsid w:val="004F7F50"/>
    <w:rsid w:val="005013B9"/>
    <w:rsid w:val="00506C55"/>
    <w:rsid w:val="00525771"/>
    <w:rsid w:val="00526B6A"/>
    <w:rsid w:val="005A1412"/>
    <w:rsid w:val="005D34F4"/>
    <w:rsid w:val="005F3FF8"/>
    <w:rsid w:val="00637D65"/>
    <w:rsid w:val="0064765C"/>
    <w:rsid w:val="00665795"/>
    <w:rsid w:val="006755CC"/>
    <w:rsid w:val="0068520D"/>
    <w:rsid w:val="006954D3"/>
    <w:rsid w:val="006A662E"/>
    <w:rsid w:val="00713542"/>
    <w:rsid w:val="00715603"/>
    <w:rsid w:val="00774E99"/>
    <w:rsid w:val="0078603D"/>
    <w:rsid w:val="007F5B49"/>
    <w:rsid w:val="00811857"/>
    <w:rsid w:val="008141C3"/>
    <w:rsid w:val="00831C0C"/>
    <w:rsid w:val="0083368A"/>
    <w:rsid w:val="00837DA6"/>
    <w:rsid w:val="00846567"/>
    <w:rsid w:val="00875DBB"/>
    <w:rsid w:val="008859C8"/>
    <w:rsid w:val="008D0709"/>
    <w:rsid w:val="008D4837"/>
    <w:rsid w:val="00914EB6"/>
    <w:rsid w:val="0092144E"/>
    <w:rsid w:val="0093338B"/>
    <w:rsid w:val="00934925"/>
    <w:rsid w:val="009354F2"/>
    <w:rsid w:val="00944BB5"/>
    <w:rsid w:val="00956476"/>
    <w:rsid w:val="00983D6D"/>
    <w:rsid w:val="009931B9"/>
    <w:rsid w:val="009A7DB7"/>
    <w:rsid w:val="009C19CB"/>
    <w:rsid w:val="009E7310"/>
    <w:rsid w:val="00A076DC"/>
    <w:rsid w:val="00A42469"/>
    <w:rsid w:val="00A454C4"/>
    <w:rsid w:val="00A468E1"/>
    <w:rsid w:val="00A657EA"/>
    <w:rsid w:val="00A754AA"/>
    <w:rsid w:val="00A83646"/>
    <w:rsid w:val="00A923AF"/>
    <w:rsid w:val="00A96919"/>
    <w:rsid w:val="00AA244D"/>
    <w:rsid w:val="00AB0AAF"/>
    <w:rsid w:val="00AE450E"/>
    <w:rsid w:val="00AE4E35"/>
    <w:rsid w:val="00B31E1E"/>
    <w:rsid w:val="00B437D7"/>
    <w:rsid w:val="00B71271"/>
    <w:rsid w:val="00B964B9"/>
    <w:rsid w:val="00BB6401"/>
    <w:rsid w:val="00BD5A19"/>
    <w:rsid w:val="00BD6C0B"/>
    <w:rsid w:val="00BD79C4"/>
    <w:rsid w:val="00BF7831"/>
    <w:rsid w:val="00C15368"/>
    <w:rsid w:val="00C206F0"/>
    <w:rsid w:val="00C27EE4"/>
    <w:rsid w:val="00C6796B"/>
    <w:rsid w:val="00C67B67"/>
    <w:rsid w:val="00C84370"/>
    <w:rsid w:val="00C84D59"/>
    <w:rsid w:val="00C92C91"/>
    <w:rsid w:val="00C96DF6"/>
    <w:rsid w:val="00CB42BC"/>
    <w:rsid w:val="00CF1EA5"/>
    <w:rsid w:val="00D123CF"/>
    <w:rsid w:val="00D20C42"/>
    <w:rsid w:val="00D85D8B"/>
    <w:rsid w:val="00DA40E3"/>
    <w:rsid w:val="00DB476B"/>
    <w:rsid w:val="00DD1376"/>
    <w:rsid w:val="00DF29B1"/>
    <w:rsid w:val="00E014B5"/>
    <w:rsid w:val="00E123E1"/>
    <w:rsid w:val="00E36A51"/>
    <w:rsid w:val="00E81E89"/>
    <w:rsid w:val="00ED4978"/>
    <w:rsid w:val="00EE5905"/>
    <w:rsid w:val="00F2146E"/>
    <w:rsid w:val="00F2150E"/>
    <w:rsid w:val="00F36766"/>
    <w:rsid w:val="00F9588F"/>
    <w:rsid w:val="00FB17B0"/>
    <w:rsid w:val="00FC0943"/>
    <w:rsid w:val="00FD3106"/>
    <w:rsid w:val="00FE6F63"/>
    <w:rsid w:val="019219CB"/>
    <w:rsid w:val="01971CE4"/>
    <w:rsid w:val="01F5027E"/>
    <w:rsid w:val="02AF0642"/>
    <w:rsid w:val="02B7624C"/>
    <w:rsid w:val="0307662E"/>
    <w:rsid w:val="033101A0"/>
    <w:rsid w:val="03D57054"/>
    <w:rsid w:val="046A1871"/>
    <w:rsid w:val="04DC3BEB"/>
    <w:rsid w:val="07E90E05"/>
    <w:rsid w:val="09DA288A"/>
    <w:rsid w:val="0B1633FE"/>
    <w:rsid w:val="0CBE0717"/>
    <w:rsid w:val="0CF77704"/>
    <w:rsid w:val="0F3F4136"/>
    <w:rsid w:val="0F9D3129"/>
    <w:rsid w:val="0FF92CDF"/>
    <w:rsid w:val="100C4FCB"/>
    <w:rsid w:val="117B5072"/>
    <w:rsid w:val="12167200"/>
    <w:rsid w:val="12DA176C"/>
    <w:rsid w:val="12F21CFF"/>
    <w:rsid w:val="147100AF"/>
    <w:rsid w:val="15440E9D"/>
    <w:rsid w:val="15954511"/>
    <w:rsid w:val="1595469E"/>
    <w:rsid w:val="15972FD3"/>
    <w:rsid w:val="15F173FC"/>
    <w:rsid w:val="165477A2"/>
    <w:rsid w:val="16D550CE"/>
    <w:rsid w:val="19797330"/>
    <w:rsid w:val="1AB9799A"/>
    <w:rsid w:val="1AED2991"/>
    <w:rsid w:val="1C5045D8"/>
    <w:rsid w:val="1D4B0D89"/>
    <w:rsid w:val="1D8614F2"/>
    <w:rsid w:val="1DDF04FB"/>
    <w:rsid w:val="1E310F52"/>
    <w:rsid w:val="1F903600"/>
    <w:rsid w:val="2159460B"/>
    <w:rsid w:val="22B463A0"/>
    <w:rsid w:val="23013481"/>
    <w:rsid w:val="239B60B9"/>
    <w:rsid w:val="240A539F"/>
    <w:rsid w:val="24300902"/>
    <w:rsid w:val="24E71FEA"/>
    <w:rsid w:val="25D9639C"/>
    <w:rsid w:val="26FC7CDE"/>
    <w:rsid w:val="28A805A2"/>
    <w:rsid w:val="2F217169"/>
    <w:rsid w:val="2F4A66E6"/>
    <w:rsid w:val="32612D5C"/>
    <w:rsid w:val="32F64B55"/>
    <w:rsid w:val="33CB11EA"/>
    <w:rsid w:val="34814064"/>
    <w:rsid w:val="361E7C84"/>
    <w:rsid w:val="363B16CC"/>
    <w:rsid w:val="370541C6"/>
    <w:rsid w:val="372C03A9"/>
    <w:rsid w:val="389B576B"/>
    <w:rsid w:val="3A1A22B5"/>
    <w:rsid w:val="3B0A4D65"/>
    <w:rsid w:val="3B316708"/>
    <w:rsid w:val="3C9859BB"/>
    <w:rsid w:val="3D72194D"/>
    <w:rsid w:val="3DB64D77"/>
    <w:rsid w:val="3EC16E76"/>
    <w:rsid w:val="3F8C62FE"/>
    <w:rsid w:val="3FB6619E"/>
    <w:rsid w:val="407D5DC5"/>
    <w:rsid w:val="412E1EDF"/>
    <w:rsid w:val="429E5FF3"/>
    <w:rsid w:val="441F0F0B"/>
    <w:rsid w:val="44453D7F"/>
    <w:rsid w:val="460B0159"/>
    <w:rsid w:val="4776085B"/>
    <w:rsid w:val="47CF6F3C"/>
    <w:rsid w:val="49D30513"/>
    <w:rsid w:val="4A535D20"/>
    <w:rsid w:val="4A701B2D"/>
    <w:rsid w:val="4AAF1834"/>
    <w:rsid w:val="4C43238C"/>
    <w:rsid w:val="4C9238B8"/>
    <w:rsid w:val="4D1106A0"/>
    <w:rsid w:val="4E99612E"/>
    <w:rsid w:val="4EAA2A53"/>
    <w:rsid w:val="4F240502"/>
    <w:rsid w:val="4F811214"/>
    <w:rsid w:val="4F9E69F2"/>
    <w:rsid w:val="50570A0D"/>
    <w:rsid w:val="50DF4595"/>
    <w:rsid w:val="51E20481"/>
    <w:rsid w:val="544C291D"/>
    <w:rsid w:val="54F406B5"/>
    <w:rsid w:val="56063C62"/>
    <w:rsid w:val="57AE1FC2"/>
    <w:rsid w:val="586B536A"/>
    <w:rsid w:val="589C1EF2"/>
    <w:rsid w:val="5AAE4E14"/>
    <w:rsid w:val="5B531C16"/>
    <w:rsid w:val="5BC10812"/>
    <w:rsid w:val="5C9217EF"/>
    <w:rsid w:val="5CD5533F"/>
    <w:rsid w:val="5D1437C1"/>
    <w:rsid w:val="5DF7384F"/>
    <w:rsid w:val="5E79010A"/>
    <w:rsid w:val="5F485CB5"/>
    <w:rsid w:val="5FA62EDF"/>
    <w:rsid w:val="600C2480"/>
    <w:rsid w:val="609C7965"/>
    <w:rsid w:val="60F0622E"/>
    <w:rsid w:val="61033380"/>
    <w:rsid w:val="61541571"/>
    <w:rsid w:val="626E4B93"/>
    <w:rsid w:val="62E17DA1"/>
    <w:rsid w:val="62E43E4B"/>
    <w:rsid w:val="644529B7"/>
    <w:rsid w:val="65E36295"/>
    <w:rsid w:val="67046432"/>
    <w:rsid w:val="670F2E58"/>
    <w:rsid w:val="671B266C"/>
    <w:rsid w:val="67C73FD3"/>
    <w:rsid w:val="6815766F"/>
    <w:rsid w:val="68201606"/>
    <w:rsid w:val="683A68AB"/>
    <w:rsid w:val="689757CE"/>
    <w:rsid w:val="6A3A382B"/>
    <w:rsid w:val="6A7B5D34"/>
    <w:rsid w:val="6CFB5F96"/>
    <w:rsid w:val="6D7D55FF"/>
    <w:rsid w:val="6DE65D96"/>
    <w:rsid w:val="6E063658"/>
    <w:rsid w:val="6E65368A"/>
    <w:rsid w:val="6F181E27"/>
    <w:rsid w:val="6F45328C"/>
    <w:rsid w:val="70605F7E"/>
    <w:rsid w:val="718D27C6"/>
    <w:rsid w:val="728063BE"/>
    <w:rsid w:val="74A2701A"/>
    <w:rsid w:val="75583BD3"/>
    <w:rsid w:val="762C2D09"/>
    <w:rsid w:val="76BB6C30"/>
    <w:rsid w:val="76BE1ED1"/>
    <w:rsid w:val="76E1594A"/>
    <w:rsid w:val="786505B6"/>
    <w:rsid w:val="78FE2CCE"/>
    <w:rsid w:val="797706E5"/>
    <w:rsid w:val="7AE54F11"/>
    <w:rsid w:val="7B4615B5"/>
    <w:rsid w:val="7C460736"/>
    <w:rsid w:val="7C7910CA"/>
    <w:rsid w:val="7C941E1C"/>
    <w:rsid w:val="7D937A63"/>
    <w:rsid w:val="7DAB3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0"/>
    <w:qFormat/>
    <w:locked/>
    <w:uiPriority w:val="99"/>
    <w:pPr>
      <w:keepNext/>
      <w:keepLines/>
      <w:spacing w:beforeLines="100" w:line="360" w:lineRule="auto"/>
      <w:jc w:val="left"/>
      <w:outlineLvl w:val="0"/>
    </w:pPr>
    <w:rPr>
      <w:rFonts w:ascii="黑体" w:hAnsi="黑体" w:eastAsia="黑体" w:cs="黑体"/>
      <w:b/>
      <w:bCs/>
      <w:kern w:val="44"/>
      <w:sz w:val="30"/>
      <w:szCs w:val="30"/>
    </w:rPr>
  </w:style>
  <w:style w:type="paragraph" w:styleId="3">
    <w:name w:val="heading 2"/>
    <w:basedOn w:val="1"/>
    <w:next w:val="1"/>
    <w:link w:val="41"/>
    <w:qFormat/>
    <w:locked/>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42"/>
    <w:qFormat/>
    <w:locked/>
    <w:uiPriority w:val="9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99"/>
    <w:pPr>
      <w:spacing w:line="240" w:lineRule="atLeast"/>
      <w:ind w:firstLine="420"/>
    </w:pPr>
    <w:rPr>
      <w:rFonts w:ascii="Arial" w:hAnsi="Arial" w:cs="Arial"/>
    </w:rPr>
  </w:style>
  <w:style w:type="paragraph" w:styleId="6">
    <w:name w:val="caption"/>
    <w:basedOn w:val="1"/>
    <w:next w:val="1"/>
    <w:qFormat/>
    <w:locked/>
    <w:uiPriority w:val="99"/>
    <w:pPr>
      <w:adjustRightInd w:val="0"/>
      <w:snapToGrid w:val="0"/>
      <w:spacing w:beforeLines="50" w:line="360" w:lineRule="auto"/>
      <w:ind w:firstLine="200" w:firstLineChars="200"/>
      <w:jc w:val="center"/>
    </w:pPr>
    <w:rPr>
      <w:rFonts w:ascii="Cambria" w:hAnsi="Cambria" w:eastAsia="仿宋" w:cs="Cambria"/>
      <w:sz w:val="20"/>
      <w:szCs w:val="20"/>
    </w:rPr>
  </w:style>
  <w:style w:type="paragraph" w:styleId="7">
    <w:name w:val="Document Map"/>
    <w:basedOn w:val="1"/>
    <w:link w:val="43"/>
    <w:semiHidden/>
    <w:qFormat/>
    <w:uiPriority w:val="99"/>
    <w:rPr>
      <w:rFonts w:ascii="宋体" w:hAnsi="Times New Roman" w:cs="宋体"/>
      <w:sz w:val="18"/>
      <w:szCs w:val="18"/>
      <w:lang w:val="zh-CN"/>
    </w:rPr>
  </w:style>
  <w:style w:type="paragraph" w:styleId="8">
    <w:name w:val="annotation text"/>
    <w:basedOn w:val="1"/>
    <w:link w:val="44"/>
    <w:semiHidden/>
    <w:qFormat/>
    <w:uiPriority w:val="99"/>
    <w:pPr>
      <w:jc w:val="left"/>
    </w:pPr>
  </w:style>
  <w:style w:type="paragraph" w:styleId="9">
    <w:name w:val="Body Text"/>
    <w:basedOn w:val="1"/>
    <w:link w:val="45"/>
    <w:qFormat/>
    <w:uiPriority w:val="99"/>
    <w:pPr>
      <w:spacing w:after="120"/>
    </w:pPr>
    <w:rPr>
      <w:rFonts w:ascii="Times New Roman" w:hAnsi="Times New Roman" w:cs="Times New Roman"/>
      <w:kern w:val="0"/>
      <w:sz w:val="20"/>
      <w:szCs w:val="20"/>
    </w:rPr>
  </w:style>
  <w:style w:type="paragraph" w:styleId="10">
    <w:name w:val="Body Text Indent"/>
    <w:basedOn w:val="1"/>
    <w:link w:val="46"/>
    <w:qFormat/>
    <w:uiPriority w:val="99"/>
    <w:pPr>
      <w:widowControl/>
      <w:wordWrap w:val="0"/>
      <w:spacing w:line="400" w:lineRule="exact"/>
      <w:ind w:firstLine="420" w:firstLineChars="200"/>
      <w:jc w:val="left"/>
    </w:pPr>
    <w:rPr>
      <w:rFonts w:ascii="Times New Roman" w:hAnsi="Times New Roman" w:cs="Times New Roman"/>
      <w:kern w:val="0"/>
      <w:sz w:val="20"/>
      <w:szCs w:val="20"/>
      <w:lang w:val="zh-CN"/>
    </w:rPr>
  </w:style>
  <w:style w:type="paragraph" w:styleId="11">
    <w:name w:val="Plain Text"/>
    <w:basedOn w:val="1"/>
    <w:link w:val="47"/>
    <w:qFormat/>
    <w:uiPriority w:val="99"/>
    <w:pPr>
      <w:widowControl/>
      <w:jc w:val="left"/>
    </w:pPr>
    <w:rPr>
      <w:rFonts w:ascii="宋体" w:hAnsi="Courier New" w:cs="宋体"/>
      <w:kern w:val="0"/>
      <w:sz w:val="24"/>
      <w:szCs w:val="24"/>
      <w:lang w:eastAsia="en-US"/>
    </w:rPr>
  </w:style>
  <w:style w:type="paragraph" w:styleId="12">
    <w:name w:val="Date"/>
    <w:basedOn w:val="1"/>
    <w:next w:val="1"/>
    <w:link w:val="48"/>
    <w:qFormat/>
    <w:uiPriority w:val="99"/>
    <w:pPr>
      <w:ind w:left="100" w:leftChars="2500"/>
    </w:pPr>
    <w:rPr>
      <w:rFonts w:ascii="Times New Roman" w:hAnsi="Times New Roman" w:cs="Times New Roman"/>
      <w:sz w:val="24"/>
      <w:szCs w:val="24"/>
      <w:lang w:val="zh-CN"/>
    </w:rPr>
  </w:style>
  <w:style w:type="paragraph" w:styleId="13">
    <w:name w:val="Body Text Indent 2"/>
    <w:basedOn w:val="1"/>
    <w:link w:val="49"/>
    <w:qFormat/>
    <w:uiPriority w:val="99"/>
    <w:pPr>
      <w:ind w:firstLine="480" w:firstLineChars="200"/>
    </w:pPr>
    <w:rPr>
      <w:rFonts w:ascii="Times New Roman" w:hAnsi="Times New Roman" w:cs="Times New Roman"/>
      <w:kern w:val="0"/>
      <w:sz w:val="20"/>
      <w:szCs w:val="20"/>
      <w:lang w:val="zh-CN"/>
    </w:rPr>
  </w:style>
  <w:style w:type="paragraph" w:styleId="14">
    <w:name w:val="Balloon Text"/>
    <w:basedOn w:val="1"/>
    <w:link w:val="50"/>
    <w:semiHidden/>
    <w:qFormat/>
    <w:uiPriority w:val="99"/>
    <w:rPr>
      <w:kern w:val="0"/>
      <w:sz w:val="18"/>
      <w:szCs w:val="18"/>
    </w:rPr>
  </w:style>
  <w:style w:type="paragraph" w:styleId="15">
    <w:name w:val="footer"/>
    <w:basedOn w:val="1"/>
    <w:link w:val="51"/>
    <w:qFormat/>
    <w:uiPriority w:val="99"/>
    <w:pPr>
      <w:tabs>
        <w:tab w:val="center" w:pos="4153"/>
        <w:tab w:val="right" w:pos="8306"/>
      </w:tabs>
      <w:snapToGrid w:val="0"/>
      <w:jc w:val="left"/>
    </w:pPr>
    <w:rPr>
      <w:sz w:val="18"/>
      <w:szCs w:val="18"/>
    </w:rPr>
  </w:style>
  <w:style w:type="paragraph" w:styleId="16">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7">
    <w:name w:val="toc 1"/>
    <w:basedOn w:val="1"/>
    <w:next w:val="1"/>
    <w:semiHidden/>
    <w:qFormat/>
    <w:uiPriority w:val="99"/>
  </w:style>
  <w:style w:type="paragraph" w:styleId="18">
    <w:name w:val="Subtitle"/>
    <w:basedOn w:val="1"/>
    <w:next w:val="1"/>
    <w:link w:val="69"/>
    <w:qFormat/>
    <w:locked/>
    <w:uiPriority w:val="99"/>
    <w:pPr>
      <w:spacing w:before="240" w:after="60" w:line="312" w:lineRule="auto"/>
      <w:jc w:val="center"/>
      <w:outlineLvl w:val="1"/>
    </w:pPr>
    <w:rPr>
      <w:rFonts w:ascii="Cambria" w:hAnsi="Cambria" w:cs="Cambria"/>
      <w:b/>
      <w:bCs/>
      <w:kern w:val="28"/>
      <w:sz w:val="32"/>
      <w:szCs w:val="32"/>
      <w:lang w:val="zh-CN"/>
    </w:rPr>
  </w:style>
  <w:style w:type="paragraph" w:styleId="19">
    <w:name w:val="Body Text Indent 3"/>
    <w:basedOn w:val="1"/>
    <w:link w:val="54"/>
    <w:qFormat/>
    <w:uiPriority w:val="99"/>
    <w:pPr>
      <w:widowControl/>
      <w:spacing w:line="360" w:lineRule="auto"/>
      <w:ind w:firstLine="480" w:firstLineChars="200"/>
      <w:jc w:val="left"/>
    </w:pPr>
    <w:rPr>
      <w:rFonts w:ascii="Times New Roman" w:hAnsi="Times New Roman" w:cs="Times New Roman"/>
      <w:kern w:val="0"/>
      <w:sz w:val="16"/>
      <w:szCs w:val="16"/>
      <w:lang w:val="zh-CN"/>
    </w:rPr>
  </w:style>
  <w:style w:type="paragraph" w:styleId="20">
    <w:name w:val="toc 2"/>
    <w:basedOn w:val="1"/>
    <w:next w:val="1"/>
    <w:semiHidden/>
    <w:qFormat/>
    <w:uiPriority w:val="99"/>
    <w:pPr>
      <w:widowControl/>
      <w:spacing w:beforeLines="20" w:line="288" w:lineRule="auto"/>
      <w:ind w:left="200" w:leftChars="200"/>
      <w:jc w:val="left"/>
    </w:pPr>
    <w:rPr>
      <w:b/>
      <w:bCs/>
      <w:kern w:val="0"/>
      <w:sz w:val="24"/>
      <w:szCs w:val="24"/>
    </w:rPr>
  </w:style>
  <w:style w:type="paragraph" w:styleId="21">
    <w:name w:val="Body Text 2"/>
    <w:basedOn w:val="1"/>
    <w:link w:val="55"/>
    <w:qFormat/>
    <w:uiPriority w:val="99"/>
    <w:pPr>
      <w:spacing w:after="120" w:line="480" w:lineRule="auto"/>
    </w:pPr>
    <w:rPr>
      <w:rFonts w:ascii="Times New Roman" w:hAnsi="Times New Roman" w:cs="Times New Roman"/>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64"/>
    <w:qFormat/>
    <w:locked/>
    <w:uiPriority w:val="99"/>
    <w:pPr>
      <w:widowControl/>
      <w:spacing w:before="240" w:after="60"/>
      <w:jc w:val="center"/>
      <w:outlineLvl w:val="0"/>
    </w:pPr>
    <w:rPr>
      <w:rFonts w:ascii="Cambria" w:hAnsi="Cambria" w:cs="Cambria"/>
      <w:b/>
      <w:bCs/>
      <w:kern w:val="28"/>
      <w:sz w:val="32"/>
      <w:szCs w:val="32"/>
    </w:rPr>
  </w:style>
  <w:style w:type="paragraph" w:styleId="24">
    <w:name w:val="annotation subject"/>
    <w:basedOn w:val="8"/>
    <w:next w:val="8"/>
    <w:link w:val="57"/>
    <w:semiHidden/>
    <w:qFormat/>
    <w:uiPriority w:val="99"/>
    <w:rPr>
      <w:rFonts w:ascii="Times New Roman" w:hAnsi="Times New Roman" w:cs="Times New Roman"/>
      <w:b/>
      <w:bCs/>
      <w:sz w:val="24"/>
      <w:szCs w:val="24"/>
      <w:lang w:val="zh-CN"/>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locked/>
    <w:uiPriority w:val="99"/>
    <w:rPr>
      <w:b/>
      <w:bCs/>
    </w:rPr>
  </w:style>
  <w:style w:type="character" w:styleId="29">
    <w:name w:val="page number"/>
    <w:basedOn w:val="27"/>
    <w:qFormat/>
    <w:uiPriority w:val="99"/>
  </w:style>
  <w:style w:type="character" w:styleId="30">
    <w:name w:val="FollowedHyperlink"/>
    <w:basedOn w:val="27"/>
    <w:qFormat/>
    <w:uiPriority w:val="99"/>
    <w:rPr>
      <w:color w:val="800080"/>
      <w:u w:val="none"/>
    </w:rPr>
  </w:style>
  <w:style w:type="character" w:styleId="31">
    <w:name w:val="Emphasis"/>
    <w:basedOn w:val="27"/>
    <w:qFormat/>
    <w:uiPriority w:val="0"/>
    <w:rPr>
      <w:b/>
      <w:bCs/>
    </w:rPr>
  </w:style>
  <w:style w:type="character" w:styleId="32">
    <w:name w:val="HTML Definition"/>
    <w:basedOn w:val="27"/>
    <w:semiHidden/>
    <w:unhideWhenUsed/>
    <w:qFormat/>
    <w:locked/>
    <w:uiPriority w:val="99"/>
  </w:style>
  <w:style w:type="character" w:styleId="33">
    <w:name w:val="HTML Variable"/>
    <w:basedOn w:val="27"/>
    <w:semiHidden/>
    <w:unhideWhenUsed/>
    <w:qFormat/>
    <w:locked/>
    <w:uiPriority w:val="99"/>
  </w:style>
  <w:style w:type="character" w:styleId="34">
    <w:name w:val="Hyperlink"/>
    <w:basedOn w:val="27"/>
    <w:qFormat/>
    <w:uiPriority w:val="99"/>
    <w:rPr>
      <w:color w:val="0000FF"/>
      <w:u w:val="none"/>
    </w:rPr>
  </w:style>
  <w:style w:type="character" w:styleId="35">
    <w:name w:val="HTML Code"/>
    <w:basedOn w:val="27"/>
    <w:semiHidden/>
    <w:unhideWhenUsed/>
    <w:qFormat/>
    <w:locked/>
    <w:uiPriority w:val="99"/>
    <w:rPr>
      <w:rFonts w:ascii="Courier New" w:hAnsi="Courier New"/>
      <w:sz w:val="20"/>
    </w:rPr>
  </w:style>
  <w:style w:type="character" w:styleId="36">
    <w:name w:val="annotation reference"/>
    <w:semiHidden/>
    <w:qFormat/>
    <w:uiPriority w:val="99"/>
    <w:rPr>
      <w:sz w:val="21"/>
      <w:szCs w:val="21"/>
    </w:rPr>
  </w:style>
  <w:style w:type="character" w:styleId="37">
    <w:name w:val="HTML Cite"/>
    <w:basedOn w:val="27"/>
    <w:semiHidden/>
    <w:unhideWhenUsed/>
    <w:qFormat/>
    <w:locked/>
    <w:uiPriority w:val="99"/>
  </w:style>
  <w:style w:type="character" w:styleId="38">
    <w:name w:val="HTML Keyboard"/>
    <w:basedOn w:val="27"/>
    <w:semiHidden/>
    <w:unhideWhenUsed/>
    <w:qFormat/>
    <w:locked/>
    <w:uiPriority w:val="99"/>
    <w:rPr>
      <w:rFonts w:ascii="Courier New" w:hAnsi="Courier New"/>
      <w:sz w:val="20"/>
    </w:rPr>
  </w:style>
  <w:style w:type="character" w:styleId="39">
    <w:name w:val="HTML Sample"/>
    <w:basedOn w:val="27"/>
    <w:semiHidden/>
    <w:unhideWhenUsed/>
    <w:qFormat/>
    <w:locked/>
    <w:uiPriority w:val="99"/>
    <w:rPr>
      <w:rFonts w:ascii="Courier New" w:hAnsi="Courier New"/>
    </w:rPr>
  </w:style>
  <w:style w:type="character" w:customStyle="1" w:styleId="40">
    <w:name w:val="标题 1 字符"/>
    <w:link w:val="2"/>
    <w:qFormat/>
    <w:locked/>
    <w:uiPriority w:val="99"/>
    <w:rPr>
      <w:rFonts w:ascii="黑体" w:hAnsi="黑体" w:eastAsia="黑体" w:cs="黑体"/>
      <w:b/>
      <w:bCs/>
      <w:kern w:val="44"/>
      <w:sz w:val="30"/>
      <w:szCs w:val="30"/>
    </w:rPr>
  </w:style>
  <w:style w:type="character" w:customStyle="1" w:styleId="41">
    <w:name w:val="标题 2 字符"/>
    <w:link w:val="3"/>
    <w:qFormat/>
    <w:locked/>
    <w:uiPriority w:val="99"/>
    <w:rPr>
      <w:rFonts w:ascii="Cambria" w:hAnsi="Cambria" w:cs="Cambria"/>
      <w:b/>
      <w:bCs/>
      <w:sz w:val="32"/>
      <w:szCs w:val="32"/>
    </w:rPr>
  </w:style>
  <w:style w:type="character" w:customStyle="1" w:styleId="42">
    <w:name w:val="标题 3 字符"/>
    <w:link w:val="4"/>
    <w:qFormat/>
    <w:locked/>
    <w:uiPriority w:val="99"/>
    <w:rPr>
      <w:b/>
      <w:bCs/>
      <w:sz w:val="32"/>
      <w:szCs w:val="32"/>
    </w:rPr>
  </w:style>
  <w:style w:type="character" w:customStyle="1" w:styleId="43">
    <w:name w:val="文档结构图 字符"/>
    <w:link w:val="7"/>
    <w:qFormat/>
    <w:locked/>
    <w:uiPriority w:val="99"/>
    <w:rPr>
      <w:rFonts w:ascii="宋体" w:hAnsi="Times New Roman" w:cs="宋体"/>
      <w:sz w:val="20"/>
      <w:szCs w:val="20"/>
      <w:lang w:val="zh-CN" w:eastAsia="zh-CN"/>
    </w:rPr>
  </w:style>
  <w:style w:type="character" w:customStyle="1" w:styleId="44">
    <w:name w:val="批注文字 字符"/>
    <w:basedOn w:val="27"/>
    <w:link w:val="8"/>
    <w:semiHidden/>
    <w:qFormat/>
    <w:locked/>
    <w:uiPriority w:val="99"/>
  </w:style>
  <w:style w:type="character" w:customStyle="1" w:styleId="45">
    <w:name w:val="正文文本 字符"/>
    <w:link w:val="9"/>
    <w:qFormat/>
    <w:locked/>
    <w:uiPriority w:val="99"/>
    <w:rPr>
      <w:sz w:val="24"/>
      <w:szCs w:val="24"/>
    </w:rPr>
  </w:style>
  <w:style w:type="character" w:customStyle="1" w:styleId="46">
    <w:name w:val="正文文本缩进 字符"/>
    <w:link w:val="10"/>
    <w:qFormat/>
    <w:locked/>
    <w:uiPriority w:val="99"/>
    <w:rPr>
      <w:rFonts w:ascii="Times New Roman" w:hAnsi="Times New Roman" w:cs="Times New Roman"/>
      <w:kern w:val="0"/>
      <w:sz w:val="24"/>
      <w:szCs w:val="24"/>
      <w:lang w:val="zh-CN" w:eastAsia="zh-CN"/>
    </w:rPr>
  </w:style>
  <w:style w:type="character" w:customStyle="1" w:styleId="47">
    <w:name w:val="纯文本 字符"/>
    <w:link w:val="11"/>
    <w:qFormat/>
    <w:locked/>
    <w:uiPriority w:val="99"/>
    <w:rPr>
      <w:rFonts w:ascii="宋体" w:hAnsi="Courier New" w:cs="宋体"/>
      <w:kern w:val="0"/>
      <w:sz w:val="21"/>
      <w:szCs w:val="21"/>
      <w:lang w:eastAsia="en-US"/>
    </w:rPr>
  </w:style>
  <w:style w:type="character" w:customStyle="1" w:styleId="48">
    <w:name w:val="日期 字符"/>
    <w:link w:val="12"/>
    <w:qFormat/>
    <w:locked/>
    <w:uiPriority w:val="99"/>
    <w:rPr>
      <w:rFonts w:ascii="Times New Roman" w:hAnsi="Times New Roman" w:cs="Times New Roman"/>
      <w:sz w:val="20"/>
      <w:szCs w:val="20"/>
      <w:lang w:val="zh-CN" w:eastAsia="zh-CN"/>
    </w:rPr>
  </w:style>
  <w:style w:type="character" w:customStyle="1" w:styleId="49">
    <w:name w:val="正文文本缩进 2 字符"/>
    <w:link w:val="13"/>
    <w:qFormat/>
    <w:locked/>
    <w:uiPriority w:val="99"/>
    <w:rPr>
      <w:rFonts w:ascii="Times New Roman" w:hAnsi="Times New Roman" w:cs="Times New Roman"/>
      <w:kern w:val="0"/>
      <w:sz w:val="24"/>
      <w:szCs w:val="24"/>
      <w:lang w:val="zh-CN" w:eastAsia="zh-CN"/>
    </w:rPr>
  </w:style>
  <w:style w:type="character" w:customStyle="1" w:styleId="50">
    <w:name w:val="批注框文本 字符"/>
    <w:link w:val="14"/>
    <w:qFormat/>
    <w:locked/>
    <w:uiPriority w:val="99"/>
    <w:rPr>
      <w:kern w:val="0"/>
      <w:sz w:val="18"/>
      <w:szCs w:val="18"/>
    </w:rPr>
  </w:style>
  <w:style w:type="character" w:customStyle="1" w:styleId="51">
    <w:name w:val="页脚 字符"/>
    <w:link w:val="15"/>
    <w:qFormat/>
    <w:locked/>
    <w:uiPriority w:val="99"/>
    <w:rPr>
      <w:sz w:val="18"/>
      <w:szCs w:val="18"/>
    </w:rPr>
  </w:style>
  <w:style w:type="character" w:customStyle="1" w:styleId="52">
    <w:name w:val="页眉 字符"/>
    <w:link w:val="16"/>
    <w:qFormat/>
    <w:locked/>
    <w:uiPriority w:val="99"/>
    <w:rPr>
      <w:sz w:val="18"/>
      <w:szCs w:val="18"/>
    </w:rPr>
  </w:style>
  <w:style w:type="character" w:customStyle="1" w:styleId="53">
    <w:name w:val="Subtitle Char"/>
    <w:qFormat/>
    <w:locked/>
    <w:uiPriority w:val="99"/>
    <w:rPr>
      <w:rFonts w:ascii="Cambria" w:hAnsi="Cambria" w:cs="Cambria"/>
      <w:b/>
      <w:bCs/>
      <w:kern w:val="28"/>
      <w:sz w:val="32"/>
      <w:szCs w:val="32"/>
    </w:rPr>
  </w:style>
  <w:style w:type="character" w:customStyle="1" w:styleId="54">
    <w:name w:val="正文文本缩进 3 字符"/>
    <w:link w:val="19"/>
    <w:qFormat/>
    <w:locked/>
    <w:uiPriority w:val="99"/>
    <w:rPr>
      <w:rFonts w:ascii="Times New Roman" w:hAnsi="Times New Roman" w:cs="Times New Roman"/>
      <w:kern w:val="0"/>
      <w:sz w:val="16"/>
      <w:szCs w:val="16"/>
      <w:lang w:val="zh-CN" w:eastAsia="zh-CN"/>
    </w:rPr>
  </w:style>
  <w:style w:type="character" w:customStyle="1" w:styleId="55">
    <w:name w:val="正文文本 2 字符"/>
    <w:link w:val="21"/>
    <w:qFormat/>
    <w:locked/>
    <w:uiPriority w:val="99"/>
    <w:rPr>
      <w:rFonts w:ascii="Times New Roman" w:hAnsi="Times New Roman" w:cs="Times New Roman"/>
      <w:sz w:val="20"/>
      <w:szCs w:val="20"/>
    </w:rPr>
  </w:style>
  <w:style w:type="character" w:customStyle="1" w:styleId="56">
    <w:name w:val="Title Char"/>
    <w:qFormat/>
    <w:locked/>
    <w:uiPriority w:val="99"/>
    <w:rPr>
      <w:rFonts w:ascii="Calibri Light" w:hAnsi="Calibri Light" w:eastAsia="宋体" w:cs="Calibri Light"/>
      <w:b/>
      <w:bCs/>
      <w:sz w:val="32"/>
      <w:szCs w:val="32"/>
    </w:rPr>
  </w:style>
  <w:style w:type="character" w:customStyle="1" w:styleId="57">
    <w:name w:val="批注主题 字符"/>
    <w:link w:val="24"/>
    <w:qFormat/>
    <w:locked/>
    <w:uiPriority w:val="99"/>
    <w:rPr>
      <w:rFonts w:ascii="Times New Roman" w:hAnsi="Times New Roman" w:cs="Times New Roman"/>
      <w:b/>
      <w:bCs/>
      <w:sz w:val="20"/>
      <w:szCs w:val="20"/>
      <w:lang w:val="zh-CN" w:eastAsia="zh-CN"/>
    </w:rPr>
  </w:style>
  <w:style w:type="paragraph" w:customStyle="1" w:styleId="58">
    <w:name w:val="中等深浅网格 1 - 着色 21"/>
    <w:basedOn w:val="1"/>
    <w:qFormat/>
    <w:uiPriority w:val="99"/>
    <w:pPr>
      <w:spacing w:line="360" w:lineRule="auto"/>
      <w:ind w:firstLine="420" w:firstLineChars="200"/>
    </w:pPr>
  </w:style>
  <w:style w:type="paragraph" w:styleId="59">
    <w:name w:val="List Paragraph"/>
    <w:basedOn w:val="1"/>
    <w:qFormat/>
    <w:uiPriority w:val="99"/>
    <w:pPr>
      <w:widowControl/>
      <w:ind w:left="720"/>
      <w:jc w:val="left"/>
    </w:pPr>
    <w:rPr>
      <w:kern w:val="0"/>
      <w:sz w:val="24"/>
      <w:szCs w:val="24"/>
    </w:rPr>
  </w:style>
  <w:style w:type="paragraph" w:customStyle="1" w:styleId="60">
    <w:name w:val="列出段落1"/>
    <w:basedOn w:val="1"/>
    <w:qFormat/>
    <w:uiPriority w:val="99"/>
    <w:pPr>
      <w:ind w:firstLine="420" w:firstLineChars="200"/>
    </w:pPr>
  </w:style>
  <w:style w:type="paragraph" w:customStyle="1" w:styleId="6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样式1"/>
    <w:basedOn w:val="1"/>
    <w:qFormat/>
    <w:uiPriority w:val="99"/>
    <w:rPr>
      <w:rFonts w:ascii="Times New Roman" w:hAnsi="Times New Roman" w:cs="Times New Roman"/>
    </w:rPr>
  </w:style>
  <w:style w:type="character" w:customStyle="1" w:styleId="63">
    <w:name w:val="正文文本 Char1"/>
    <w:semiHidden/>
    <w:qFormat/>
    <w:uiPriority w:val="99"/>
    <w:rPr>
      <w:sz w:val="21"/>
      <w:szCs w:val="21"/>
    </w:rPr>
  </w:style>
  <w:style w:type="character" w:customStyle="1" w:styleId="64">
    <w:name w:val="标题 字符"/>
    <w:link w:val="23"/>
    <w:qFormat/>
    <w:locked/>
    <w:uiPriority w:val="99"/>
    <w:rPr>
      <w:rFonts w:ascii="Cambria" w:hAnsi="Cambria" w:cs="Cambria"/>
      <w:b/>
      <w:bCs/>
      <w:kern w:val="28"/>
      <w:sz w:val="32"/>
      <w:szCs w:val="32"/>
    </w:rPr>
  </w:style>
  <w:style w:type="paragraph" w:customStyle="1" w:styleId="65">
    <w:name w:val="TOC Heading1"/>
    <w:basedOn w:val="2"/>
    <w:next w:val="1"/>
    <w:qFormat/>
    <w:uiPriority w:val="99"/>
    <w:pPr>
      <w:widowControl/>
      <w:spacing w:beforeLines="0" w:line="276" w:lineRule="auto"/>
      <w:outlineLvl w:val="9"/>
    </w:pPr>
    <w:rPr>
      <w:rFonts w:ascii="Cambria" w:hAnsi="Cambria" w:eastAsia="宋体" w:cs="Cambria"/>
      <w:color w:val="365F91"/>
      <w:kern w:val="0"/>
      <w:sz w:val="28"/>
      <w:szCs w:val="28"/>
    </w:rPr>
  </w:style>
  <w:style w:type="paragraph" w:customStyle="1" w:styleId="66">
    <w:name w:val="样式2"/>
    <w:qFormat/>
    <w:uiPriority w:val="99"/>
    <w:pPr>
      <w:adjustRightInd w:val="0"/>
      <w:snapToGrid w:val="0"/>
      <w:spacing w:beforeLines="50" w:line="360" w:lineRule="auto"/>
      <w:jc w:val="center"/>
    </w:pPr>
    <w:rPr>
      <w:rFonts w:ascii="楷体" w:hAnsi="楷体" w:eastAsia="楷体" w:cs="楷体"/>
      <w:b/>
      <w:bCs/>
      <w:kern w:val="2"/>
      <w:sz w:val="44"/>
      <w:szCs w:val="44"/>
      <w:lang w:val="en-US" w:eastAsia="zh-CN" w:bidi="ar-SA"/>
    </w:rPr>
  </w:style>
  <w:style w:type="paragraph" w:customStyle="1" w:styleId="67">
    <w:name w:val="表格"/>
    <w:basedOn w:val="1"/>
    <w:link w:val="68"/>
    <w:qFormat/>
    <w:uiPriority w:val="99"/>
    <w:pPr>
      <w:spacing w:line="360" w:lineRule="auto"/>
      <w:jc w:val="center"/>
    </w:pPr>
    <w:rPr>
      <w:rFonts w:ascii="宋体" w:hAnsi="Times New Roman" w:cs="宋体"/>
      <w:color w:val="000000"/>
      <w:kern w:val="0"/>
      <w:sz w:val="20"/>
      <w:szCs w:val="20"/>
    </w:rPr>
  </w:style>
  <w:style w:type="character" w:customStyle="1" w:styleId="68">
    <w:name w:val="表格 Char"/>
    <w:link w:val="67"/>
    <w:qFormat/>
    <w:locked/>
    <w:uiPriority w:val="99"/>
    <w:rPr>
      <w:rFonts w:ascii="宋体" w:eastAsia="宋体" w:cs="宋体"/>
      <w:color w:val="000000"/>
      <w:kern w:val="0"/>
      <w:sz w:val="20"/>
      <w:szCs w:val="20"/>
    </w:rPr>
  </w:style>
  <w:style w:type="character" w:customStyle="1" w:styleId="69">
    <w:name w:val="副标题 字符"/>
    <w:link w:val="18"/>
    <w:qFormat/>
    <w:locked/>
    <w:uiPriority w:val="99"/>
    <w:rPr>
      <w:rFonts w:ascii="Cambria" w:hAnsi="Cambria" w:cs="Cambria"/>
      <w:b/>
      <w:bCs/>
      <w:kern w:val="28"/>
      <w:sz w:val="20"/>
      <w:szCs w:val="20"/>
      <w:lang w:val="zh-CN" w:eastAsia="zh-CN"/>
    </w:rPr>
  </w:style>
  <w:style w:type="paragraph" w:customStyle="1" w:styleId="70">
    <w:name w:val="表内容"/>
    <w:basedOn w:val="1"/>
    <w:qFormat/>
    <w:uiPriority w:val="99"/>
    <w:pPr>
      <w:autoSpaceDE w:val="0"/>
      <w:autoSpaceDN w:val="0"/>
      <w:adjustRightInd w:val="0"/>
      <w:spacing w:line="310" w:lineRule="atLeast"/>
      <w:jc w:val="center"/>
    </w:pPr>
    <w:rPr>
      <w:rFonts w:ascii="宋体" w:hAnsi="Times New Roman" w:cs="宋体"/>
      <w:kern w:val="0"/>
      <w:sz w:val="18"/>
      <w:szCs w:val="18"/>
    </w:rPr>
  </w:style>
  <w:style w:type="paragraph" w:customStyle="1" w:styleId="71">
    <w:name w:val="人培一级标题"/>
    <w:basedOn w:val="1"/>
    <w:link w:val="72"/>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72">
    <w:name w:val="人培一级标题 Char"/>
    <w:link w:val="71"/>
    <w:qFormat/>
    <w:locked/>
    <w:uiPriority w:val="99"/>
    <w:rPr>
      <w:rFonts w:ascii="Arial" w:hAnsi="Arial" w:eastAsia="黑体" w:cs="Arial"/>
      <w:b/>
      <w:bCs/>
      <w:kern w:val="44"/>
      <w:sz w:val="20"/>
      <w:szCs w:val="20"/>
      <w:lang w:val="zh-CN" w:eastAsia="zh-CN"/>
    </w:rPr>
  </w:style>
  <w:style w:type="paragraph" w:customStyle="1" w:styleId="73">
    <w:name w:val="p0"/>
    <w:basedOn w:val="1"/>
    <w:qFormat/>
    <w:uiPriority w:val="99"/>
    <w:pPr>
      <w:widowControl/>
      <w:snapToGrid w:val="0"/>
      <w:spacing w:before="156" w:line="360" w:lineRule="auto"/>
      <w:ind w:firstLine="420"/>
      <w:jc w:val="left"/>
    </w:pPr>
    <w:rPr>
      <w:rFonts w:ascii="Arial" w:hAnsi="Arial" w:cs="Arial"/>
      <w:kern w:val="0"/>
      <w:sz w:val="24"/>
      <w:szCs w:val="24"/>
    </w:rPr>
  </w:style>
  <w:style w:type="paragraph" w:customStyle="1" w:styleId="74">
    <w:name w:val="3级"/>
    <w:basedOn w:val="4"/>
    <w:qFormat/>
    <w:uiPriority w:val="99"/>
    <w:pPr>
      <w:keepNext w:val="0"/>
      <w:keepLines w:val="0"/>
      <w:widowControl/>
      <w:spacing w:beforeLines="50" w:beforeAutospacing="1" w:after="0" w:afterAutospacing="1" w:line="360" w:lineRule="auto"/>
      <w:jc w:val="left"/>
    </w:pPr>
    <w:rPr>
      <w:rFonts w:ascii="Times New Roman" w:hAnsi="Times New Roman" w:cs="Times New Roman"/>
      <w:kern w:val="0"/>
      <w:sz w:val="28"/>
      <w:szCs w:val="28"/>
      <w:lang w:val="zh-CN"/>
    </w:rPr>
  </w:style>
  <w:style w:type="paragraph" w:customStyle="1" w:styleId="75">
    <w:name w:val="人培方案二级标题"/>
    <w:basedOn w:val="1"/>
    <w:link w:val="76"/>
    <w:qFormat/>
    <w:uiPriority w:val="99"/>
    <w:pPr>
      <w:keepNext/>
      <w:keepLines/>
      <w:spacing w:beforeLines="50" w:line="360" w:lineRule="auto"/>
      <w:jc w:val="left"/>
      <w:outlineLvl w:val="0"/>
    </w:pPr>
    <w:rPr>
      <w:rFonts w:ascii="Arial" w:hAnsi="Arial" w:eastAsia="黑体" w:cs="Arial"/>
      <w:b/>
      <w:bCs/>
      <w:kern w:val="44"/>
      <w:sz w:val="20"/>
      <w:szCs w:val="20"/>
      <w:lang w:val="zh-CN"/>
    </w:rPr>
  </w:style>
  <w:style w:type="character" w:customStyle="1" w:styleId="76">
    <w:name w:val="人培方案二级标题 Char"/>
    <w:link w:val="75"/>
    <w:qFormat/>
    <w:locked/>
    <w:uiPriority w:val="99"/>
    <w:rPr>
      <w:rFonts w:ascii="Arial" w:hAnsi="Arial" w:eastAsia="黑体" w:cs="Arial"/>
      <w:b/>
      <w:bCs/>
      <w:kern w:val="44"/>
      <w:sz w:val="20"/>
      <w:szCs w:val="20"/>
      <w:lang w:val="zh-CN" w:eastAsia="zh-CN"/>
    </w:rPr>
  </w:style>
  <w:style w:type="paragraph" w:customStyle="1" w:styleId="77">
    <w:name w:val="人培一级"/>
    <w:basedOn w:val="71"/>
    <w:link w:val="78"/>
    <w:qFormat/>
    <w:uiPriority w:val="99"/>
  </w:style>
  <w:style w:type="character" w:customStyle="1" w:styleId="78">
    <w:name w:val="人培一级 Char"/>
    <w:link w:val="77"/>
    <w:qFormat/>
    <w:locked/>
    <w:uiPriority w:val="99"/>
    <w:rPr>
      <w:rFonts w:ascii="Arial" w:hAnsi="Arial" w:eastAsia="黑体" w:cs="Arial"/>
      <w:b/>
      <w:bCs/>
      <w:kern w:val="44"/>
      <w:sz w:val="32"/>
      <w:szCs w:val="32"/>
      <w:lang w:val="zh-CN" w:eastAsia="zh-CN"/>
    </w:rPr>
  </w:style>
  <w:style w:type="paragraph" w:customStyle="1" w:styleId="79">
    <w:name w:val="TOC 标题1"/>
    <w:basedOn w:val="2"/>
    <w:next w:val="1"/>
    <w:qFormat/>
    <w:uiPriority w:val="99"/>
    <w:pPr>
      <w:widowControl/>
      <w:spacing w:beforeLines="0" w:line="276" w:lineRule="auto"/>
      <w:outlineLvl w:val="9"/>
    </w:pPr>
    <w:rPr>
      <w:rFonts w:ascii="Cambria" w:hAnsi="Cambria" w:eastAsia="宋体" w:cs="Cambria"/>
      <w:color w:val="365F91"/>
      <w:kern w:val="0"/>
      <w:sz w:val="28"/>
      <w:szCs w:val="28"/>
      <w:lang w:val="zh-CN"/>
    </w:rPr>
  </w:style>
  <w:style w:type="paragraph" w:customStyle="1" w:styleId="80">
    <w:name w:val="样式3"/>
    <w:basedOn w:val="1"/>
    <w:link w:val="81"/>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81">
    <w:name w:val="样式3 Char"/>
    <w:link w:val="80"/>
    <w:qFormat/>
    <w:locked/>
    <w:uiPriority w:val="99"/>
    <w:rPr>
      <w:rFonts w:ascii="Arial" w:hAnsi="Arial" w:eastAsia="黑体" w:cs="Arial"/>
      <w:b/>
      <w:bCs/>
      <w:kern w:val="44"/>
      <w:sz w:val="20"/>
      <w:szCs w:val="20"/>
      <w:lang w:val="zh-CN" w:eastAsia="zh-CN"/>
    </w:rPr>
  </w:style>
  <w:style w:type="paragraph" w:customStyle="1" w:styleId="82">
    <w:name w:val="人培方案3级标题"/>
    <w:basedOn w:val="1"/>
    <w:link w:val="83"/>
    <w:qFormat/>
    <w:uiPriority w:val="99"/>
    <w:pPr>
      <w:widowControl/>
      <w:spacing w:beforeLines="50" w:line="360" w:lineRule="auto"/>
      <w:ind w:firstLine="281" w:firstLineChars="100"/>
      <w:jc w:val="left"/>
      <w:outlineLvl w:val="2"/>
    </w:pPr>
    <w:rPr>
      <w:rFonts w:ascii="Arial" w:hAnsi="Arial" w:cs="Arial"/>
      <w:b/>
      <w:bCs/>
      <w:kern w:val="0"/>
      <w:sz w:val="20"/>
      <w:szCs w:val="20"/>
      <w:lang w:val="zh-CN"/>
    </w:rPr>
  </w:style>
  <w:style w:type="character" w:customStyle="1" w:styleId="83">
    <w:name w:val="人培方案3级标题 Char"/>
    <w:link w:val="82"/>
    <w:qFormat/>
    <w:locked/>
    <w:uiPriority w:val="99"/>
    <w:rPr>
      <w:rFonts w:ascii="Arial" w:hAnsi="Arial" w:cs="Arial"/>
      <w:b/>
      <w:bCs/>
      <w:kern w:val="0"/>
      <w:sz w:val="20"/>
      <w:szCs w:val="20"/>
      <w:lang w:val="zh-CN" w:eastAsia="zh-CN"/>
    </w:rPr>
  </w:style>
  <w:style w:type="paragraph" w:customStyle="1" w:styleId="84">
    <w:name w:val="2级"/>
    <w:basedOn w:val="3"/>
    <w:qFormat/>
    <w:uiPriority w:val="99"/>
    <w:pPr>
      <w:spacing w:beforeLines="50" w:after="0" w:line="360" w:lineRule="auto"/>
    </w:pPr>
    <w:rPr>
      <w:rFonts w:ascii="微软雅黑" w:hAnsi="微软雅黑" w:eastAsia="黑体" w:cs="微软雅黑"/>
      <w:sz w:val="28"/>
      <w:szCs w:val="28"/>
      <w:lang w:val="zh-CN"/>
    </w:rPr>
  </w:style>
  <w:style w:type="paragraph" w:customStyle="1" w:styleId="85">
    <w:name w:val="人培方案（正文）"/>
    <w:basedOn w:val="1"/>
    <w:link w:val="86"/>
    <w:qFormat/>
    <w:uiPriority w:val="99"/>
    <w:pPr>
      <w:spacing w:beforeLines="50" w:line="360" w:lineRule="auto"/>
      <w:ind w:firstLine="480" w:firstLineChars="200"/>
    </w:pPr>
    <w:rPr>
      <w:rFonts w:ascii="Arial" w:hAnsi="Arial" w:cs="Arial"/>
      <w:kern w:val="0"/>
      <w:sz w:val="20"/>
      <w:szCs w:val="20"/>
      <w:lang w:val="zh-CN"/>
    </w:rPr>
  </w:style>
  <w:style w:type="character" w:customStyle="1" w:styleId="86">
    <w:name w:val="人培方案（正文） Char"/>
    <w:link w:val="85"/>
    <w:qFormat/>
    <w:locked/>
    <w:uiPriority w:val="99"/>
    <w:rPr>
      <w:rFonts w:ascii="Arial" w:hAnsi="Arial" w:cs="Arial"/>
      <w:sz w:val="20"/>
      <w:szCs w:val="20"/>
      <w:lang w:val="zh-CN" w:eastAsia="zh-CN"/>
    </w:rPr>
  </w:style>
  <w:style w:type="paragraph" w:customStyle="1" w:styleId="87">
    <w:name w:val="pm图示"/>
    <w:basedOn w:val="1"/>
    <w:next w:val="1"/>
    <w:link w:val="88"/>
    <w:qFormat/>
    <w:uiPriority w:val="99"/>
    <w:pPr>
      <w:widowControl/>
      <w:shd w:val="clear" w:color="auto" w:fill="FFFFFF"/>
      <w:spacing w:line="360" w:lineRule="auto"/>
      <w:ind w:firstLine="200" w:firstLineChars="200"/>
      <w:jc w:val="center"/>
    </w:pPr>
    <w:rPr>
      <w:rFonts w:ascii="宋体" w:hAnsi="Times New Roman" w:cs="宋体"/>
      <w:b/>
      <w:bCs/>
      <w:color w:val="000000"/>
      <w:kern w:val="0"/>
      <w:sz w:val="20"/>
      <w:szCs w:val="20"/>
      <w:lang w:val="zh-CN"/>
    </w:rPr>
  </w:style>
  <w:style w:type="character" w:customStyle="1" w:styleId="88">
    <w:name w:val="pm图示 Char Char"/>
    <w:link w:val="87"/>
    <w:qFormat/>
    <w:locked/>
    <w:uiPriority w:val="99"/>
    <w:rPr>
      <w:rFonts w:ascii="宋体" w:hAnsi="Times New Roman" w:cs="宋体"/>
      <w:b/>
      <w:bCs/>
      <w:color w:val="000000"/>
      <w:sz w:val="20"/>
      <w:szCs w:val="20"/>
      <w:shd w:val="clear" w:color="auto" w:fill="FFFFFF"/>
      <w:lang w:val="zh-CN" w:eastAsia="zh-CN"/>
    </w:rPr>
  </w:style>
  <w:style w:type="paragraph" w:customStyle="1" w:styleId="89">
    <w:name w:val="样式 (西文) 宋体 四号 首行缩进:  2 字符"/>
    <w:basedOn w:val="1"/>
    <w:qFormat/>
    <w:uiPriority w:val="99"/>
    <w:pPr>
      <w:ind w:firstLine="538" w:firstLineChars="192"/>
    </w:pPr>
    <w:rPr>
      <w:rFonts w:ascii="宋体" w:hAnsi="宋体" w:cs="宋体"/>
      <w:sz w:val="28"/>
      <w:szCs w:val="28"/>
    </w:rPr>
  </w:style>
  <w:style w:type="paragraph" w:customStyle="1" w:styleId="90">
    <w:name w:val="中等深浅网格 21"/>
    <w:qFormat/>
    <w:uiPriority w:val="99"/>
    <w:pPr>
      <w:widowControl w:val="0"/>
      <w:autoSpaceDE w:val="0"/>
      <w:autoSpaceDN w:val="0"/>
      <w:adjustRightInd w:val="0"/>
      <w:ind w:firstLine="480" w:firstLineChars="200"/>
    </w:pPr>
    <w:rPr>
      <w:rFonts w:ascii="宋体" w:hAnsi="宋体" w:eastAsia="宋体" w:cs="宋体"/>
      <w:kern w:val="2"/>
      <w:sz w:val="24"/>
      <w:szCs w:val="24"/>
      <w:lang w:val="en-US" w:eastAsia="zh-CN" w:bidi="ar-SA"/>
    </w:rPr>
  </w:style>
  <w:style w:type="paragraph" w:customStyle="1" w:styleId="91">
    <w:name w:val="校正文"/>
    <w:basedOn w:val="1"/>
    <w:qFormat/>
    <w:uiPriority w:val="99"/>
    <w:pPr>
      <w:spacing w:line="500" w:lineRule="atLeast"/>
      <w:ind w:firstLine="200" w:firstLineChars="200"/>
      <w:jc w:val="left"/>
    </w:pPr>
    <w:rPr>
      <w:rFonts w:eastAsia="仿宋_GB2312"/>
      <w:sz w:val="28"/>
      <w:szCs w:val="28"/>
    </w:rPr>
  </w:style>
  <w:style w:type="paragraph" w:customStyle="1" w:styleId="92">
    <w:name w:val="文1"/>
    <w:basedOn w:val="1"/>
    <w:link w:val="93"/>
    <w:qFormat/>
    <w:uiPriority w:val="99"/>
    <w:pPr>
      <w:adjustRightInd w:val="0"/>
      <w:snapToGrid w:val="0"/>
      <w:spacing w:beforeLines="50" w:line="360" w:lineRule="auto"/>
      <w:ind w:firstLine="480" w:firstLineChars="200"/>
      <w:jc w:val="left"/>
    </w:pPr>
    <w:rPr>
      <w:rFonts w:ascii="Arial" w:hAnsi="Arial" w:cs="Arial"/>
      <w:kern w:val="0"/>
      <w:lang w:val="zh-CN"/>
    </w:rPr>
  </w:style>
  <w:style w:type="character" w:customStyle="1" w:styleId="93">
    <w:name w:val="文1 Char"/>
    <w:link w:val="92"/>
    <w:qFormat/>
    <w:locked/>
    <w:uiPriority w:val="99"/>
    <w:rPr>
      <w:rFonts w:ascii="Arial" w:hAnsi="Arial" w:cs="Arial"/>
      <w:sz w:val="21"/>
      <w:szCs w:val="21"/>
      <w:lang w:val="zh-CN" w:eastAsia="zh-CN"/>
    </w:rPr>
  </w:style>
  <w:style w:type="character" w:customStyle="1" w:styleId="94">
    <w:name w:val="Char Char17"/>
    <w:qFormat/>
    <w:locked/>
    <w:uiPriority w:val="99"/>
    <w:rPr>
      <w:b/>
      <w:bCs/>
      <w:kern w:val="44"/>
      <w:sz w:val="44"/>
      <w:szCs w:val="44"/>
    </w:rPr>
  </w:style>
  <w:style w:type="character" w:customStyle="1" w:styleId="95">
    <w:name w:val="Char Char16"/>
    <w:qFormat/>
    <w:locked/>
    <w:uiPriority w:val="99"/>
    <w:rPr>
      <w:rFonts w:ascii="Cambria" w:hAnsi="Cambria" w:eastAsia="宋体" w:cs="Cambria"/>
      <w:b/>
      <w:bCs/>
      <w:kern w:val="2"/>
      <w:sz w:val="32"/>
      <w:szCs w:val="32"/>
    </w:rPr>
  </w:style>
  <w:style w:type="character" w:customStyle="1" w:styleId="96">
    <w:name w:val="apple-converted-space"/>
    <w:qFormat/>
    <w:uiPriority w:val="99"/>
  </w:style>
  <w:style w:type="character" w:customStyle="1" w:styleId="97">
    <w:name w:val="Char Char6"/>
    <w:qFormat/>
    <w:locked/>
    <w:uiPriority w:val="99"/>
    <w:rPr>
      <w:kern w:val="2"/>
      <w:sz w:val="18"/>
      <w:szCs w:val="18"/>
    </w:rPr>
  </w:style>
  <w:style w:type="character" w:customStyle="1" w:styleId="98">
    <w:name w:val="Char Char5"/>
    <w:qFormat/>
    <w:locked/>
    <w:uiPriority w:val="99"/>
    <w:rPr>
      <w:kern w:val="2"/>
      <w:sz w:val="18"/>
      <w:szCs w:val="18"/>
    </w:rPr>
  </w:style>
  <w:style w:type="character" w:customStyle="1" w:styleId="99">
    <w:name w:val="Char Char4"/>
    <w:qFormat/>
    <w:locked/>
    <w:uiPriority w:val="99"/>
    <w:rPr>
      <w:kern w:val="2"/>
      <w:sz w:val="18"/>
      <w:szCs w:val="18"/>
    </w:rPr>
  </w:style>
  <w:style w:type="character" w:customStyle="1" w:styleId="100">
    <w:name w:val="Title Char1"/>
    <w:qFormat/>
    <w:uiPriority w:val="99"/>
    <w:rPr>
      <w:rFonts w:ascii="Cambria" w:hAnsi="Cambria" w:cs="Cambria"/>
      <w:b/>
      <w:bCs/>
      <w:sz w:val="32"/>
      <w:szCs w:val="32"/>
    </w:rPr>
  </w:style>
  <w:style w:type="character" w:customStyle="1" w:styleId="101">
    <w:name w:val="Subtitle Char1"/>
    <w:qFormat/>
    <w:uiPriority w:val="99"/>
    <w:rPr>
      <w:rFonts w:ascii="Cambria" w:hAnsi="Cambria" w:cs="Cambria"/>
      <w:b/>
      <w:bCs/>
      <w:kern w:val="28"/>
      <w:sz w:val="32"/>
      <w:szCs w:val="32"/>
    </w:rPr>
  </w:style>
  <w:style w:type="character" w:customStyle="1" w:styleId="102">
    <w:name w:val="font71"/>
    <w:qFormat/>
    <w:uiPriority w:val="99"/>
    <w:rPr>
      <w:rFonts w:ascii="宋体" w:hAnsi="宋体" w:eastAsia="宋体" w:cs="宋体"/>
      <w:color w:val="000000"/>
      <w:sz w:val="21"/>
      <w:szCs w:val="21"/>
      <w:u w:val="none"/>
    </w:rPr>
  </w:style>
  <w:style w:type="paragraph" w:customStyle="1" w:styleId="103">
    <w:name w:val="List Paragraph1"/>
    <w:basedOn w:val="1"/>
    <w:qFormat/>
    <w:uiPriority w:val="99"/>
    <w:pPr>
      <w:spacing w:beforeLines="50" w:line="360" w:lineRule="auto"/>
      <w:ind w:firstLine="420" w:firstLineChars="200"/>
    </w:pPr>
    <w:rPr>
      <w:rFonts w:ascii="Arial" w:hAnsi="Arial" w:cs="Arial"/>
      <w:sz w:val="24"/>
      <w:szCs w:val="24"/>
    </w:rPr>
  </w:style>
  <w:style w:type="paragraph" w:customStyle="1" w:styleId="104">
    <w:name w:val="标准（正文）"/>
    <w:basedOn w:val="1"/>
    <w:qFormat/>
    <w:uiPriority w:val="99"/>
    <w:pPr>
      <w:spacing w:beforeLines="50" w:line="560" w:lineRule="exact"/>
      <w:ind w:firstLine="560" w:firstLineChars="200"/>
    </w:pPr>
    <w:rPr>
      <w:rFonts w:ascii="仿宋_GB2312" w:hAnsi="Times New Roman" w:eastAsia="仿宋_GB2312" w:cs="仿宋_GB2312"/>
      <w:sz w:val="28"/>
      <w:szCs w:val="28"/>
    </w:rPr>
  </w:style>
  <w:style w:type="paragraph" w:customStyle="1" w:styleId="105">
    <w:name w:val="标准三级"/>
    <w:basedOn w:val="1"/>
    <w:qFormat/>
    <w:uiPriority w:val="99"/>
    <w:pPr>
      <w:spacing w:beforeLines="50" w:line="560" w:lineRule="exact"/>
      <w:ind w:firstLine="562" w:firstLineChars="200"/>
    </w:pPr>
    <w:rPr>
      <w:rFonts w:ascii="仿宋_GB2312" w:hAnsi="Times New Roman" w:eastAsia="仿宋_GB2312" w:cs="仿宋_GB2312"/>
      <w:b/>
      <w:bCs/>
      <w:color w:val="000000"/>
      <w:sz w:val="28"/>
      <w:szCs w:val="28"/>
    </w:rPr>
  </w:style>
  <w:style w:type="character" w:customStyle="1" w:styleId="106">
    <w:name w:val="Char Char22"/>
    <w:qFormat/>
    <w:locked/>
    <w:uiPriority w:val="99"/>
    <w:rPr>
      <w:rFonts w:ascii="黑体" w:hAnsi="黑体" w:eastAsia="黑体" w:cs="黑体"/>
      <w:b/>
      <w:bCs/>
      <w:kern w:val="44"/>
      <w:sz w:val="30"/>
      <w:szCs w:val="30"/>
      <w:lang w:val="en-US" w:eastAsia="zh-CN"/>
    </w:rPr>
  </w:style>
  <w:style w:type="character" w:customStyle="1" w:styleId="107">
    <w:name w:val="Char Char21"/>
    <w:qFormat/>
    <w:locked/>
    <w:uiPriority w:val="99"/>
    <w:rPr>
      <w:rFonts w:ascii="Cambria" w:hAnsi="Cambria" w:eastAsia="宋体" w:cs="Cambria"/>
      <w:b/>
      <w:bCs/>
      <w:kern w:val="2"/>
      <w:sz w:val="32"/>
      <w:szCs w:val="32"/>
      <w:lang w:val="en-US" w:eastAsia="zh-CN"/>
    </w:rPr>
  </w:style>
  <w:style w:type="character" w:customStyle="1" w:styleId="108">
    <w:name w:val="Char Char20"/>
    <w:qFormat/>
    <w:locked/>
    <w:uiPriority w:val="99"/>
    <w:rPr>
      <w:rFonts w:ascii="Calibri" w:hAnsi="Calibri" w:eastAsia="宋体" w:cs="Calibri"/>
      <w:b/>
      <w:bCs/>
      <w:kern w:val="2"/>
      <w:sz w:val="32"/>
      <w:szCs w:val="32"/>
      <w:lang w:val="en-US" w:eastAsia="zh-CN"/>
    </w:rPr>
  </w:style>
  <w:style w:type="character" w:customStyle="1" w:styleId="109">
    <w:name w:val="Char Char19"/>
    <w:qFormat/>
    <w:locked/>
    <w:uiPriority w:val="99"/>
    <w:rPr>
      <w:rFonts w:ascii="Calibri" w:hAnsi="Calibri" w:eastAsia="宋体" w:cs="Calibri"/>
      <w:kern w:val="2"/>
      <w:sz w:val="18"/>
      <w:szCs w:val="18"/>
      <w:lang w:val="en-US" w:eastAsia="zh-CN"/>
    </w:rPr>
  </w:style>
  <w:style w:type="character" w:customStyle="1" w:styleId="110">
    <w:name w:val="Char Char18"/>
    <w:qFormat/>
    <w:locked/>
    <w:uiPriority w:val="99"/>
    <w:rPr>
      <w:rFonts w:ascii="Calibri" w:hAnsi="Calibri" w:eastAsia="宋体" w:cs="Calibri"/>
      <w:kern w:val="2"/>
      <w:sz w:val="18"/>
      <w:szCs w:val="18"/>
      <w:lang w:val="en-US" w:eastAsia="zh-CN"/>
    </w:rPr>
  </w:style>
  <w:style w:type="character" w:customStyle="1" w:styleId="111">
    <w:name w:val="Char Char15"/>
    <w:qFormat/>
    <w:locked/>
    <w:uiPriority w:val="99"/>
    <w:rPr>
      <w:rFonts w:ascii="Calibri" w:hAnsi="Calibri" w:eastAsia="宋体" w:cs="Calibri"/>
      <w:kern w:val="2"/>
      <w:sz w:val="18"/>
      <w:szCs w:val="18"/>
      <w:lang w:val="en-US" w:eastAsia="zh-CN"/>
    </w:rPr>
  </w:style>
  <w:style w:type="paragraph" w:customStyle="1" w:styleId="11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3">
    <w:name w:val="Table Paragraph"/>
    <w:basedOn w:val="1"/>
    <w:qFormat/>
    <w:uiPriority w:val="1"/>
    <w:rPr>
      <w:rFonts w:ascii="宋体" w:hAnsi="宋体" w:eastAsia="宋体" w:cs="宋体"/>
      <w:lang w:val="zh-CN" w:eastAsia="zh-CN" w:bidi="zh-CN"/>
    </w:rPr>
  </w:style>
  <w:style w:type="character" w:customStyle="1" w:styleId="114">
    <w:name w:val="control"/>
    <w:basedOn w:val="27"/>
    <w:qFormat/>
    <w:uiPriority w:val="0"/>
    <w:rPr>
      <w:vanish/>
    </w:rPr>
  </w:style>
  <w:style w:type="character" w:customStyle="1" w:styleId="115">
    <w:name w:val="news_meta"/>
    <w:basedOn w:val="27"/>
    <w:qFormat/>
    <w:uiPriority w:val="0"/>
    <w:rPr>
      <w:color w:val="9C9C9C"/>
      <w:sz w:val="21"/>
      <w:szCs w:val="21"/>
    </w:rPr>
  </w:style>
  <w:style w:type="character" w:customStyle="1" w:styleId="116">
    <w:name w:val="news_meta1"/>
    <w:basedOn w:val="27"/>
    <w:qFormat/>
    <w:uiPriority w:val="0"/>
    <w:rPr>
      <w:color w:val="00568D"/>
      <w:sz w:val="24"/>
      <w:szCs w:val="24"/>
    </w:rPr>
  </w:style>
  <w:style w:type="character" w:customStyle="1" w:styleId="117">
    <w:name w:val="pubdate-month"/>
    <w:basedOn w:val="27"/>
    <w:qFormat/>
    <w:uiPriority w:val="0"/>
    <w:rPr>
      <w:color w:val="FFFFFF"/>
      <w:sz w:val="19"/>
      <w:szCs w:val="19"/>
      <w:shd w:val="clear" w:fill="CC0000"/>
    </w:rPr>
  </w:style>
  <w:style w:type="character" w:customStyle="1" w:styleId="118">
    <w:name w:val="item-name"/>
    <w:basedOn w:val="27"/>
    <w:qFormat/>
    <w:uiPriority w:val="0"/>
  </w:style>
  <w:style w:type="character" w:customStyle="1" w:styleId="119">
    <w:name w:val="item-name1"/>
    <w:basedOn w:val="27"/>
    <w:qFormat/>
    <w:uiPriority w:val="0"/>
  </w:style>
  <w:style w:type="character" w:customStyle="1" w:styleId="120">
    <w:name w:val="pubdate-day"/>
    <w:basedOn w:val="27"/>
    <w:qFormat/>
    <w:uiPriority w:val="0"/>
    <w:rPr>
      <w:shd w:val="clear" w:fill="F2F2F2"/>
    </w:rPr>
  </w:style>
  <w:style w:type="character" w:customStyle="1" w:styleId="121">
    <w:name w:val="t"/>
    <w:basedOn w:val="27"/>
    <w:qFormat/>
    <w:uiPriority w:val="0"/>
    <w:rPr>
      <w:color w:val="C1C1C1"/>
      <w:sz w:val="28"/>
      <w:szCs w:val="28"/>
    </w:rPr>
  </w:style>
  <w:style w:type="character" w:customStyle="1" w:styleId="122">
    <w:name w:val="column-name18"/>
    <w:basedOn w:val="27"/>
    <w:qFormat/>
    <w:uiPriority w:val="0"/>
    <w:rPr>
      <w:color w:val="1A7FC0"/>
    </w:rPr>
  </w:style>
  <w:style w:type="character" w:customStyle="1" w:styleId="123">
    <w:name w:val="news_title10"/>
    <w:basedOn w:val="27"/>
    <w:qFormat/>
    <w:uiPriority w:val="0"/>
  </w:style>
  <w:style w:type="character" w:customStyle="1" w:styleId="124">
    <w:name w:val="news_title11"/>
    <w:basedOn w:val="27"/>
    <w:qFormat/>
    <w:uiPriority w:val="0"/>
  </w:style>
  <w:style w:type="paragraph" w:customStyle="1" w:styleId="125">
    <w:name w:val="WPSOffice手动目录 1"/>
    <w:qFormat/>
    <w:uiPriority w:val="0"/>
    <w:pPr>
      <w:ind w:leftChars="0"/>
    </w:pPr>
    <w:rPr>
      <w:rFonts w:ascii="Times New Roman" w:hAnsi="Times New Roman" w:eastAsia="宋体" w:cs="Times New Roman"/>
      <w:sz w:val="20"/>
      <w:szCs w:val="20"/>
    </w:rPr>
  </w:style>
  <w:style w:type="paragraph" w:customStyle="1" w:styleId="1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2143</Words>
  <Characters>12219</Characters>
  <Lines>101</Lines>
  <Paragraphs>28</Paragraphs>
  <TotalTime>4</TotalTime>
  <ScaleCrop>false</ScaleCrop>
  <LinksUpToDate>false</LinksUpToDate>
  <CharactersWithSpaces>14334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2019-09-03T01:51:00Z</dcterms:created>
  <dc:creator>lenovo</dc:creator>
  <cp:lastModifiedBy>涓涓</cp:lastModifiedBy>
  <cp:lastPrinted>2021-10-08T08:48:00Z</cp:lastPrinted>
  <dcterms:modified xsi:type="dcterms:W3CDTF">2021-10-26T06:27:07Z</dcterms:modified>
  <dc:title>福建省教育厅关于做好职业院校专业人才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28FD995313364FC0B8A2A9E655556170</vt:lpwstr>
  </property>
</Properties>
</file>