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center"/>
        <w:rPr>
          <w:rFonts w:hint="eastAsia" w:ascii="仿宋_GB2312" w:hAnsi="仿宋_GB2312" w:eastAsia="仿宋_GB2312" w:cs="仿宋_GB2312"/>
          <w:b w:val="0"/>
          <w:bCs w:val="0"/>
          <w:sz w:val="28"/>
          <w:szCs w:val="28"/>
          <w:lang w:val="en-US" w:eastAsia="zh-CN"/>
        </w:rPr>
      </w:pPr>
    </w:p>
    <w:p>
      <w:pPr>
        <w:spacing w:line="240" w:lineRule="auto"/>
        <w:jc w:val="both"/>
        <w:outlineLvl w:val="9"/>
        <w:rPr>
          <w:rFonts w:hint="eastAsia" w:ascii="仿宋_GB2312" w:hAnsi="仿宋_GB2312" w:eastAsia="仿宋_GB2312" w:cs="仿宋_GB2312"/>
          <w:b/>
          <w:bCs/>
          <w:sz w:val="28"/>
          <w:szCs w:val="28"/>
          <w:lang w:val="en-US" w:eastAsia="zh-CN"/>
        </w:rPr>
      </w:pPr>
    </w:p>
    <w:p>
      <w:pPr>
        <w:spacing w:line="240" w:lineRule="auto"/>
        <w:jc w:val="center"/>
        <w:outlineLvl w:val="0"/>
        <w:rPr>
          <w:rFonts w:hint="eastAsia" w:ascii="仿宋_GB2312" w:hAnsi="仿宋_GB2312" w:eastAsia="仿宋_GB2312" w:cs="仿宋_GB2312"/>
          <w:b/>
          <w:bCs/>
          <w:sz w:val="72"/>
          <w:szCs w:val="72"/>
          <w:lang w:val="en-US" w:eastAsia="zh-CN"/>
        </w:rPr>
      </w:pPr>
      <w:bookmarkStart w:id="0" w:name="_Toc22462"/>
      <w:r>
        <w:rPr>
          <w:rFonts w:hint="eastAsia" w:ascii="仿宋_GB2312" w:hAnsi="仿宋_GB2312" w:eastAsia="仿宋_GB2312" w:cs="仿宋_GB2312"/>
          <w:b/>
          <w:bCs/>
          <w:sz w:val="72"/>
          <w:szCs w:val="72"/>
          <w:lang w:val="en-US" w:eastAsia="zh-CN"/>
        </w:rPr>
        <w:t>福安职业技术学校</w:t>
      </w:r>
    </w:p>
    <w:bookmarkEnd w:id="0"/>
    <w:p>
      <w:pPr>
        <w:spacing w:line="240" w:lineRule="auto"/>
        <w:jc w:val="center"/>
        <w:outlineLvl w:val="0"/>
        <w:rPr>
          <w:rFonts w:hint="eastAsia" w:ascii="仿宋_GB2312" w:hAnsi="仿宋_GB2312" w:eastAsia="仿宋_GB2312" w:cs="仿宋_GB2312"/>
          <w:b/>
          <w:bCs/>
          <w:sz w:val="52"/>
          <w:szCs w:val="52"/>
          <w:lang w:val="en-US" w:eastAsia="zh-CN"/>
        </w:rPr>
      </w:pPr>
      <w:bookmarkStart w:id="1" w:name="_Toc28756"/>
      <w:r>
        <w:rPr>
          <w:rFonts w:hint="eastAsia" w:ascii="仿宋_GB2312" w:hAnsi="仿宋_GB2312" w:eastAsia="仿宋_GB2312" w:cs="仿宋_GB2312"/>
          <w:b/>
          <w:bCs/>
          <w:sz w:val="52"/>
          <w:szCs w:val="52"/>
          <w:lang w:val="en-US" w:eastAsia="zh-CN"/>
        </w:rPr>
        <w:t>茶艺与茶营销专</w:t>
      </w:r>
      <w:bookmarkStart w:id="32" w:name="_GoBack"/>
      <w:bookmarkEnd w:id="32"/>
      <w:r>
        <w:rPr>
          <w:rFonts w:hint="eastAsia" w:ascii="仿宋_GB2312" w:hAnsi="仿宋_GB2312" w:eastAsia="仿宋_GB2312" w:cs="仿宋_GB2312"/>
          <w:b/>
          <w:bCs/>
          <w:sz w:val="52"/>
          <w:szCs w:val="52"/>
          <w:lang w:val="en-US" w:eastAsia="zh-CN"/>
        </w:rPr>
        <w:t>业人才培养方案</w:t>
      </w:r>
      <w:bookmarkEnd w:id="1"/>
    </w:p>
    <w:p>
      <w:pPr>
        <w:spacing w:line="240" w:lineRule="auto"/>
        <w:jc w:val="both"/>
        <w:rPr>
          <w:rFonts w:hint="eastAsia" w:ascii="仿宋_GB2312" w:hAnsi="仿宋_GB2312" w:eastAsia="仿宋_GB2312" w:cs="仿宋_GB2312"/>
          <w:b w:val="0"/>
          <w:bCs w:val="0"/>
          <w:sz w:val="28"/>
          <w:szCs w:val="28"/>
          <w:lang w:val="en-US" w:eastAsia="zh-CN"/>
        </w:rPr>
      </w:pPr>
    </w:p>
    <w:p>
      <w:pPr>
        <w:spacing w:line="240" w:lineRule="auto"/>
        <w:jc w:val="center"/>
        <w:rPr>
          <w:rFonts w:hint="eastAsia" w:ascii="仿宋_GB2312" w:hAnsi="仿宋_GB2312" w:eastAsia="仿宋_GB2312" w:cs="仿宋_GB2312"/>
          <w:b w:val="0"/>
          <w:bCs w:val="0"/>
          <w:sz w:val="28"/>
          <w:szCs w:val="28"/>
          <w:lang w:val="en-US" w:eastAsia="zh-CN"/>
        </w:rPr>
      </w:pPr>
    </w:p>
    <w:p>
      <w:pPr>
        <w:spacing w:line="240" w:lineRule="auto"/>
        <w:jc w:val="both"/>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both"/>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600" w:lineRule="exact"/>
        <w:jc w:val="center"/>
        <w:rPr>
          <w:rFonts w:hint="eastAsia" w:ascii="仿宋_GB2312" w:hAnsi="仿宋_GB2312" w:eastAsia="仿宋_GB2312" w:cs="仿宋_GB2312"/>
          <w:b w:val="0"/>
          <w:bCs w:val="0"/>
          <w:sz w:val="28"/>
          <w:szCs w:val="28"/>
          <w:lang w:val="en-US" w:eastAsia="zh-CN"/>
        </w:rPr>
      </w:pPr>
    </w:p>
    <w:p>
      <w:pPr>
        <w:spacing w:line="360" w:lineRule="auto"/>
        <w:rPr>
          <w:rFonts w:hint="eastAsia" w:ascii="仿宋_GB2312" w:hAnsi="仿宋_GB2312" w:eastAsia="仿宋_GB2312" w:cs="仿宋_GB2312"/>
          <w:b w:val="0"/>
          <w:bCs w:val="0"/>
          <w:sz w:val="28"/>
          <w:szCs w:val="28"/>
          <w:lang w:val="en-US" w:eastAsia="zh-CN"/>
        </w:rPr>
        <w:sectPr>
          <w:footerReference r:id="rId3" w:type="default"/>
          <w:pgSz w:w="11906" w:h="16838"/>
          <w:pgMar w:top="1440" w:right="1797" w:bottom="1440" w:left="1644"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sz w:val="48"/>
          <w:szCs w:val="48"/>
        </w:rPr>
      </w:pPr>
      <w:bookmarkStart w:id="2" w:name="_Toc19190"/>
      <w:r>
        <w:rPr>
          <w:rFonts w:hint="eastAsia" w:ascii="仿宋_GB2312" w:hAnsi="仿宋_GB2312" w:eastAsia="仿宋_GB2312" w:cs="仿宋_GB2312"/>
          <w:b/>
          <w:bCs/>
          <w:sz w:val="48"/>
          <w:szCs w:val="48"/>
          <w:lang w:val="en-US" w:eastAsia="zh-CN"/>
        </w:rPr>
        <w:t>福安职</w:t>
      </w:r>
      <w:r>
        <w:rPr>
          <w:rFonts w:hint="eastAsia" w:ascii="仿宋_GB2312" w:hAnsi="仿宋_GB2312" w:eastAsia="仿宋_GB2312" w:cs="仿宋_GB2312"/>
          <w:b/>
          <w:bCs/>
          <w:sz w:val="48"/>
          <w:szCs w:val="48"/>
        </w:rPr>
        <w:t>业技术学校</w:t>
      </w:r>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sz w:val="48"/>
          <w:szCs w:val="48"/>
        </w:rPr>
      </w:pPr>
      <w:bookmarkStart w:id="3" w:name="_Toc27078"/>
      <w:r>
        <w:rPr>
          <w:rFonts w:hint="eastAsia" w:ascii="仿宋_GB2312" w:hAnsi="仿宋_GB2312" w:eastAsia="仿宋_GB2312" w:cs="仿宋_GB2312"/>
          <w:b/>
          <w:bCs/>
          <w:sz w:val="48"/>
          <w:szCs w:val="48"/>
          <w:lang w:eastAsia="zh-CN"/>
        </w:rPr>
        <w:t>茶艺与茶营销</w:t>
      </w:r>
      <w:r>
        <w:rPr>
          <w:rFonts w:hint="eastAsia" w:ascii="仿宋_GB2312" w:hAnsi="仿宋_GB2312" w:eastAsia="仿宋_GB2312" w:cs="仿宋_GB2312"/>
          <w:b/>
          <w:bCs/>
          <w:sz w:val="48"/>
          <w:szCs w:val="48"/>
        </w:rPr>
        <w:t>专业人才培养方案</w:t>
      </w:r>
      <w:bookmarkEnd w:id="3"/>
    </w:p>
    <w:p>
      <w:pPr>
        <w:keepNext w:val="0"/>
        <w:keepLines w:val="0"/>
        <w:pageBreakBefore w:val="0"/>
        <w:widowControl w:val="0"/>
        <w:numPr>
          <w:ilvl w:val="0"/>
          <w:numId w:val="1"/>
        </w:numPr>
        <w:kinsoku/>
        <w:wordWrap/>
        <w:overflowPunct/>
        <w:topLinePunct w:val="0"/>
        <w:autoSpaceDE/>
        <w:autoSpaceDN/>
        <w:bidi w:val="0"/>
        <w:adjustRightInd/>
        <w:spacing w:line="360" w:lineRule="exact"/>
        <w:textAlignment w:val="auto"/>
        <w:outlineLvl w:val="0"/>
        <w:rPr>
          <w:rFonts w:hint="eastAsia" w:ascii="仿宋_GB2312" w:hAnsi="仿宋_GB2312" w:eastAsia="仿宋_GB2312" w:cs="仿宋_GB2312"/>
          <w:b w:val="0"/>
          <w:bCs w:val="0"/>
          <w:sz w:val="28"/>
          <w:szCs w:val="28"/>
        </w:rPr>
      </w:pPr>
      <w:bookmarkStart w:id="4" w:name="_Toc17244"/>
      <w:r>
        <w:rPr>
          <w:rFonts w:hint="eastAsia" w:ascii="仿宋_GB2312" w:hAnsi="仿宋_GB2312" w:eastAsia="仿宋_GB2312" w:cs="仿宋_GB2312"/>
          <w:b/>
          <w:bCs/>
          <w:sz w:val="28"/>
          <w:szCs w:val="28"/>
        </w:rPr>
        <w:t>专业名称及代码</w:t>
      </w:r>
      <w:bookmarkEnd w:id="4"/>
      <w:bookmarkStart w:id="5" w:name="_Toc30777"/>
    </w:p>
    <w:p>
      <w:pPr>
        <w:keepNext w:val="0"/>
        <w:keepLines w:val="0"/>
        <w:pageBreakBefore w:val="0"/>
        <w:widowControl w:val="0"/>
        <w:numPr>
          <w:ilvl w:val="0"/>
          <w:numId w:val="0"/>
        </w:numPr>
        <w:kinsoku/>
        <w:wordWrap/>
        <w:overflowPunct/>
        <w:topLinePunct w:val="0"/>
        <w:autoSpaceDE/>
        <w:autoSpaceDN/>
        <w:bidi w:val="0"/>
        <w:adjustRightInd/>
        <w:spacing w:line="360" w:lineRule="exact"/>
        <w:textAlignment w:val="auto"/>
        <w:outlineLvl w:val="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（一）专业名称</w:t>
      </w:r>
      <w:bookmarkEnd w:id="5"/>
    </w:p>
    <w:p>
      <w:pPr>
        <w:keepNext w:val="0"/>
        <w:keepLines w:val="0"/>
        <w:pageBreakBefore w:val="0"/>
        <w:widowControl w:val="0"/>
        <w:kinsoku/>
        <w:wordWrap/>
        <w:overflowPunct/>
        <w:topLinePunct w:val="0"/>
        <w:autoSpaceDE/>
        <w:autoSpaceDN/>
        <w:bidi w:val="0"/>
        <w:adjustRightInd/>
        <w:snapToGrid w:val="0"/>
        <w:spacing w:line="360" w:lineRule="exact"/>
        <w:ind w:firstLine="840" w:firstLineChars="300"/>
        <w:textAlignment w:val="auto"/>
        <w:outlineLvl w:val="1"/>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茶艺与茶营销</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6" w:name="_Toc10673"/>
      <w:r>
        <w:rPr>
          <w:rFonts w:hint="eastAsia" w:ascii="仿宋_GB2312" w:hAnsi="仿宋_GB2312" w:eastAsia="仿宋_GB2312" w:cs="仿宋_GB2312"/>
          <w:b w:val="0"/>
          <w:bCs w:val="0"/>
          <w:sz w:val="28"/>
          <w:szCs w:val="28"/>
        </w:rPr>
        <w:t>（二）专业类别</w:t>
      </w:r>
      <w:bookmarkEnd w:id="6"/>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旅游</w:t>
      </w:r>
      <w:r>
        <w:rPr>
          <w:rFonts w:hint="eastAsia" w:ascii="仿宋_GB2312" w:hAnsi="仿宋_GB2312" w:eastAsia="仿宋_GB2312" w:cs="仿宋_GB2312"/>
          <w:b w:val="0"/>
          <w:bCs w:val="0"/>
          <w:sz w:val="28"/>
          <w:szCs w:val="28"/>
        </w:rPr>
        <w:t>类</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7" w:name="_Toc9805"/>
      <w:r>
        <w:rPr>
          <w:rFonts w:hint="eastAsia" w:ascii="仿宋_GB2312" w:hAnsi="仿宋_GB2312" w:eastAsia="仿宋_GB2312" w:cs="仿宋_GB2312"/>
          <w:b w:val="0"/>
          <w:bCs w:val="0"/>
          <w:sz w:val="28"/>
          <w:szCs w:val="28"/>
        </w:rPr>
        <w:t>（三）专业代码</w:t>
      </w:r>
      <w:bookmarkEnd w:id="7"/>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740105</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0"/>
        <w:rPr>
          <w:rFonts w:hint="eastAsia" w:ascii="仿宋_GB2312" w:hAnsi="仿宋_GB2312" w:eastAsia="仿宋_GB2312" w:cs="仿宋_GB2312"/>
          <w:b/>
          <w:bCs/>
          <w:sz w:val="28"/>
          <w:szCs w:val="28"/>
        </w:rPr>
      </w:pPr>
      <w:bookmarkStart w:id="8" w:name="_Toc14814"/>
      <w:r>
        <w:rPr>
          <w:rFonts w:hint="eastAsia" w:ascii="仿宋_GB2312" w:hAnsi="仿宋_GB2312" w:eastAsia="仿宋_GB2312" w:cs="仿宋_GB2312"/>
          <w:b/>
          <w:bCs/>
          <w:sz w:val="28"/>
          <w:szCs w:val="28"/>
        </w:rPr>
        <w:t>二、入学要求</w:t>
      </w:r>
      <w:bookmarkEnd w:id="8"/>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初中毕业生或具有同等学力者</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0"/>
        <w:rPr>
          <w:rFonts w:hint="eastAsia" w:ascii="仿宋_GB2312" w:hAnsi="仿宋_GB2312" w:eastAsia="仿宋_GB2312" w:cs="仿宋_GB2312"/>
          <w:b/>
          <w:bCs/>
          <w:sz w:val="28"/>
          <w:szCs w:val="28"/>
        </w:rPr>
      </w:pPr>
      <w:bookmarkStart w:id="9" w:name="_Toc28082"/>
      <w:r>
        <w:rPr>
          <w:rFonts w:hint="eastAsia" w:ascii="仿宋_GB2312" w:hAnsi="仿宋_GB2312" w:eastAsia="仿宋_GB2312" w:cs="仿宋_GB2312"/>
          <w:b/>
          <w:bCs/>
          <w:sz w:val="28"/>
          <w:szCs w:val="28"/>
        </w:rPr>
        <w:t>三、修业年限</w:t>
      </w:r>
      <w:bookmarkEnd w:id="9"/>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全日制三年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outlineLvl w:val="0"/>
        <w:rPr>
          <w:rFonts w:hint="eastAsia" w:ascii="仿宋_GB2312" w:hAnsi="仿宋_GB2312" w:eastAsia="仿宋_GB2312" w:cs="仿宋_GB2312"/>
          <w:b/>
          <w:bCs/>
          <w:sz w:val="28"/>
          <w:szCs w:val="28"/>
          <w:lang w:val="en-US" w:eastAsia="zh-CN"/>
        </w:rPr>
      </w:pPr>
      <w:bookmarkStart w:id="10" w:name="_Toc9872"/>
      <w:r>
        <w:rPr>
          <w:rFonts w:hint="eastAsia" w:ascii="仿宋_GB2312" w:hAnsi="仿宋_GB2312" w:eastAsia="仿宋_GB2312" w:cs="仿宋_GB2312"/>
          <w:b/>
          <w:bCs/>
          <w:sz w:val="28"/>
          <w:szCs w:val="28"/>
          <w:lang w:eastAsia="zh-CN"/>
        </w:rPr>
        <w:t>四、</w:t>
      </w:r>
      <w:r>
        <w:rPr>
          <w:rFonts w:hint="eastAsia" w:ascii="仿宋_GB2312" w:hAnsi="仿宋_GB2312" w:eastAsia="仿宋_GB2312" w:cs="仿宋_GB2312"/>
          <w:b/>
          <w:bCs/>
          <w:sz w:val="28"/>
          <w:szCs w:val="28"/>
        </w:rPr>
        <w:t>职业面向</w:t>
      </w:r>
      <w:r>
        <w:rPr>
          <w:rFonts w:hint="eastAsia" w:ascii="仿宋_GB2312" w:hAnsi="仿宋_GB2312" w:eastAsia="仿宋_GB2312" w:cs="仿宋_GB2312"/>
          <w:b/>
          <w:bCs/>
          <w:sz w:val="28"/>
          <w:szCs w:val="28"/>
          <w:lang w:val="en-US" w:eastAsia="zh-CN"/>
        </w:rPr>
        <w:t>与接续专业</w:t>
      </w:r>
      <w:bookmarkEnd w:id="10"/>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lang w:val="en-US" w:eastAsia="zh-CN"/>
        </w:rPr>
      </w:pPr>
      <w:bookmarkStart w:id="11" w:name="_Toc24341"/>
      <w:r>
        <w:rPr>
          <w:rFonts w:hint="eastAsia" w:ascii="仿宋_GB2312" w:hAnsi="仿宋_GB2312" w:eastAsia="仿宋_GB2312" w:cs="仿宋_GB2312"/>
          <w:b w:val="0"/>
          <w:bCs w:val="0"/>
          <w:sz w:val="28"/>
          <w:szCs w:val="28"/>
          <w:lang w:val="en-US" w:eastAsia="zh-CN"/>
        </w:rPr>
        <w:t>（一）职业面向</w:t>
      </w:r>
      <w:bookmarkEnd w:id="11"/>
    </w:p>
    <w:tbl>
      <w:tblPr>
        <w:tblStyle w:val="26"/>
        <w:tblW w:w="10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574"/>
        <w:gridCol w:w="1572"/>
        <w:gridCol w:w="1868"/>
        <w:gridCol w:w="230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17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所属专业大类（代码）</w:t>
            </w:r>
          </w:p>
        </w:tc>
        <w:tc>
          <w:tcPr>
            <w:tcW w:w="1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所属专业类（代码）</w:t>
            </w: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FF0000"/>
                <w:kern w:val="2"/>
                <w:sz w:val="28"/>
                <w:szCs w:val="28"/>
                <w:lang w:val="en-US" w:eastAsia="zh-CN" w:bidi="ar-SA"/>
              </w:rPr>
            </w:pPr>
            <w:r>
              <w:rPr>
                <w:rFonts w:hint="eastAsia" w:ascii="仿宋_GB2312" w:hAnsi="仿宋_GB2312" w:eastAsia="仿宋_GB2312" w:cs="仿宋_GB2312"/>
                <w:b w:val="0"/>
                <w:bCs w:val="0"/>
                <w:color w:val="000000"/>
                <w:sz w:val="28"/>
                <w:szCs w:val="28"/>
              </w:rPr>
              <w:t>对应行业 （代码）</w:t>
            </w:r>
          </w:p>
        </w:tc>
        <w:tc>
          <w:tcPr>
            <w:tcW w:w="18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FF0000"/>
                <w:kern w:val="2"/>
                <w:sz w:val="28"/>
                <w:szCs w:val="28"/>
                <w:lang w:val="en-US" w:eastAsia="zh-CN" w:bidi="ar-SA"/>
              </w:rPr>
            </w:pPr>
            <w:r>
              <w:rPr>
                <w:rFonts w:hint="eastAsia" w:ascii="仿宋_GB2312" w:hAnsi="仿宋_GB2312" w:eastAsia="仿宋_GB2312" w:cs="仿宋_GB2312"/>
                <w:b w:val="0"/>
                <w:bCs w:val="0"/>
                <w:color w:val="000000"/>
                <w:sz w:val="28"/>
                <w:szCs w:val="28"/>
              </w:rPr>
              <w:t>主要职业类别 （代码）</w:t>
            </w:r>
          </w:p>
        </w:tc>
        <w:tc>
          <w:tcPr>
            <w:tcW w:w="23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主要岗位类别 （或技术领域）</w:t>
            </w:r>
          </w:p>
        </w:tc>
        <w:tc>
          <w:tcPr>
            <w:tcW w:w="1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职业资格证书或技能等级证书举例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jc w:val="center"/>
        </w:trPr>
        <w:tc>
          <w:tcPr>
            <w:tcW w:w="17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eastAsia="zh-CN"/>
              </w:rPr>
              <w:t>旅游</w:t>
            </w:r>
            <w:r>
              <w:rPr>
                <w:rFonts w:hint="eastAsia" w:ascii="仿宋_GB2312" w:hAnsi="仿宋_GB2312" w:eastAsia="仿宋_GB2312" w:cs="仿宋_GB2312"/>
                <w:b w:val="0"/>
                <w:bCs w:val="0"/>
                <w:color w:val="000000"/>
                <w:sz w:val="28"/>
                <w:szCs w:val="28"/>
              </w:rPr>
              <w:t>大类</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74</w:t>
            </w:r>
            <w:r>
              <w:rPr>
                <w:rFonts w:hint="eastAsia" w:ascii="仿宋_GB2312" w:hAnsi="仿宋_GB2312" w:eastAsia="仿宋_GB2312" w:cs="仿宋_GB2312"/>
                <w:b w:val="0"/>
                <w:bCs w:val="0"/>
                <w:color w:val="000000"/>
                <w:sz w:val="28"/>
                <w:szCs w:val="28"/>
                <w:lang w:eastAsia="zh-CN"/>
              </w:rPr>
              <w:t>）</w:t>
            </w:r>
          </w:p>
        </w:tc>
        <w:tc>
          <w:tcPr>
            <w:tcW w:w="1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旅游类（7401）</w:t>
            </w: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茶叶批发（F5127）</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茶叶零售（F5226）</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茶馆服务（H6231）</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市场管理（L7291）</w:t>
            </w:r>
          </w:p>
        </w:tc>
        <w:tc>
          <w:tcPr>
            <w:tcW w:w="18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营业人员（4-11）</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茶艺人员（4-33）</w:t>
            </w:r>
          </w:p>
        </w:tc>
        <w:tc>
          <w:tcPr>
            <w:tcW w:w="23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茶艺服务员</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茶叶专卖店店员</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 xml:space="preserve">茶产品导购员 </w:t>
            </w:r>
          </w:p>
        </w:tc>
        <w:tc>
          <w:tcPr>
            <w:tcW w:w="15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茶艺师/评茶员</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exact"/>
        <w:textAlignment w:val="auto"/>
        <w:outlineLvl w:val="1"/>
        <w:rPr>
          <w:rFonts w:hint="eastAsia" w:ascii="仿宋_GB2312" w:hAnsi="仿宋_GB2312" w:eastAsia="仿宋_GB2312" w:cs="仿宋_GB2312"/>
          <w:b w:val="0"/>
          <w:bCs w:val="0"/>
          <w:sz w:val="28"/>
          <w:szCs w:val="28"/>
          <w:lang w:val="en-US" w:eastAsia="zh-CN"/>
        </w:rPr>
      </w:pPr>
      <w:bookmarkStart w:id="12" w:name="_Toc11155"/>
      <w:r>
        <w:rPr>
          <w:rFonts w:hint="eastAsia" w:ascii="仿宋_GB2312" w:hAnsi="仿宋_GB2312" w:eastAsia="仿宋_GB2312" w:cs="仿宋_GB2312"/>
          <w:b w:val="0"/>
          <w:bCs w:val="0"/>
          <w:sz w:val="28"/>
          <w:szCs w:val="28"/>
          <w:lang w:val="en-US" w:eastAsia="zh-CN"/>
        </w:rPr>
        <w:t>（二）接续专业</w:t>
      </w:r>
      <w:bookmarkEnd w:id="12"/>
    </w:p>
    <w:p>
      <w:pPr>
        <w:keepNext w:val="0"/>
        <w:keepLines w:val="0"/>
        <w:pageBreakBefore w:val="0"/>
        <w:kinsoku/>
        <w:wordWrap/>
        <w:overflowPunct/>
        <w:topLinePunct w:val="0"/>
        <w:bidi w:val="0"/>
        <w:adjustRightInd/>
        <w:spacing w:beforeAutospacing="0" w:afterAutospacing="0" w:line="360" w:lineRule="exact"/>
        <w:textAlignment w:val="auto"/>
        <w:rPr>
          <w:rFonts w:hint="eastAsia" w:ascii="仿宋_GB2312" w:hAnsi="仿宋_GB2312" w:eastAsia="仿宋_GB2312" w:cs="仿宋_GB2312"/>
          <w:b w:val="0"/>
          <w:bCs w:val="0"/>
          <w:kern w:val="0"/>
          <w:sz w:val="28"/>
          <w:szCs w:val="28"/>
          <w:lang w:val="en-US" w:eastAsia="zh-CN" w:bidi="ar-SA"/>
        </w:rPr>
      </w:pPr>
      <w:bookmarkStart w:id="13" w:name="_Toc17827"/>
      <w:r>
        <w:rPr>
          <w:rFonts w:hint="eastAsia" w:ascii="仿宋_GB2312" w:hAnsi="仿宋_GB2312" w:eastAsia="仿宋_GB2312" w:cs="仿宋_GB2312"/>
          <w:b w:val="0"/>
          <w:bCs w:val="0"/>
          <w:kern w:val="0"/>
          <w:sz w:val="28"/>
          <w:szCs w:val="28"/>
          <w:lang w:val="en-US" w:eastAsia="zh-CN" w:bidi="ar-SA"/>
        </w:rPr>
        <w:t>高职：</w:t>
      </w:r>
      <w:bookmarkEnd w:id="13"/>
      <w:r>
        <w:rPr>
          <w:rFonts w:hint="eastAsia" w:ascii="仿宋_GB2312" w:hAnsi="仿宋_GB2312" w:eastAsia="仿宋_GB2312" w:cs="仿宋_GB2312"/>
          <w:b w:val="0"/>
          <w:bCs w:val="0"/>
          <w:kern w:val="0"/>
          <w:sz w:val="28"/>
          <w:szCs w:val="28"/>
          <w:lang w:val="en-US" w:eastAsia="zh-CN" w:bidi="ar-SA"/>
        </w:rPr>
        <w:t>茶文化艺术、茶文化旅游、茶叶生产加工技术</w:t>
      </w:r>
    </w:p>
    <w:p>
      <w:pPr>
        <w:keepNext w:val="0"/>
        <w:keepLines w:val="0"/>
        <w:pageBreakBefore w:val="0"/>
        <w:kinsoku/>
        <w:wordWrap/>
        <w:overflowPunct/>
        <w:topLinePunct w:val="0"/>
        <w:bidi w:val="0"/>
        <w:adjustRightInd/>
        <w:spacing w:beforeAutospacing="0" w:afterAutospacing="0" w:line="360" w:lineRule="exact"/>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 xml:space="preserve">本科：茶学  </w:t>
      </w:r>
      <w:bookmarkStart w:id="14" w:name="_Toc17305"/>
    </w:p>
    <w:p>
      <w:pPr>
        <w:keepNext w:val="0"/>
        <w:keepLines w:val="0"/>
        <w:pageBreakBefore w:val="0"/>
        <w:kinsoku/>
        <w:wordWrap/>
        <w:overflowPunct/>
        <w:topLinePunct w:val="0"/>
        <w:bidi w:val="0"/>
        <w:adjustRightInd/>
        <w:spacing w:beforeAutospacing="0" w:afterAutospacing="0" w:line="3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五、培养目标</w:t>
      </w:r>
      <w:r>
        <w:rPr>
          <w:rFonts w:hint="eastAsia" w:ascii="仿宋_GB2312" w:hAnsi="仿宋_GB2312" w:eastAsia="仿宋_GB2312" w:cs="仿宋_GB2312"/>
          <w:b/>
          <w:bCs/>
          <w:sz w:val="28"/>
          <w:szCs w:val="28"/>
          <w:lang w:val="en-US" w:eastAsia="zh-CN"/>
        </w:rPr>
        <w:t>与</w:t>
      </w:r>
      <w:r>
        <w:rPr>
          <w:rFonts w:hint="eastAsia" w:ascii="仿宋_GB2312" w:hAnsi="仿宋_GB2312" w:eastAsia="仿宋_GB2312" w:cs="仿宋_GB2312"/>
          <w:b/>
          <w:bCs/>
          <w:sz w:val="28"/>
          <w:szCs w:val="28"/>
        </w:rPr>
        <w:t>培养规格</w:t>
      </w:r>
      <w:bookmarkEnd w:id="14"/>
      <w:bookmarkStart w:id="15" w:name="_Toc22497"/>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exact"/>
        <w:textAlignment w:val="auto"/>
        <w:outlineLvl w:val="1"/>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（一）</w:t>
      </w:r>
      <w:r>
        <w:rPr>
          <w:rFonts w:hint="eastAsia" w:ascii="仿宋_GB2312" w:hAnsi="仿宋_GB2312" w:eastAsia="仿宋_GB2312" w:cs="仿宋_GB2312"/>
          <w:b w:val="0"/>
          <w:bCs w:val="0"/>
          <w:sz w:val="28"/>
          <w:szCs w:val="28"/>
          <w:lang w:val="en-US" w:eastAsia="zh-CN"/>
        </w:rPr>
        <w:t>培养目标</w:t>
      </w:r>
      <w:bookmarkEnd w:id="15"/>
      <w:r>
        <w:rPr>
          <w:rFonts w:hint="eastAsia" w:ascii="仿宋_GB2312" w:hAnsi="仿宋_GB2312" w:eastAsia="仿宋_GB2312" w:cs="仿宋_GB2312"/>
          <w:b w:val="0"/>
          <w:bCs w:val="0"/>
          <w:sz w:val="28"/>
          <w:szCs w:val="28"/>
        </w:rPr>
        <w:t xml:space="preserve">    </w:t>
      </w:r>
      <w:bookmarkStart w:id="16" w:name="_Toc6257"/>
    </w:p>
    <w:p>
      <w:pPr>
        <w:keepNext w:val="0"/>
        <w:keepLines w:val="0"/>
        <w:pageBreakBefore w:val="0"/>
        <w:kinsoku/>
        <w:wordWrap/>
        <w:overflowPunct/>
        <w:topLinePunct w:val="0"/>
        <w:bidi w:val="0"/>
        <w:adjustRightInd/>
        <w:spacing w:beforeAutospacing="0" w:afterAutospacing="0" w:line="3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kern w:val="0"/>
          <w:sz w:val="28"/>
          <w:szCs w:val="28"/>
          <w:lang w:val="en-US" w:eastAsia="zh-CN" w:bidi="ar-SA"/>
        </w:rPr>
        <w:t>坚持立德树人，全面贯彻党的教育方针，坚持社会主义办学方向，培养与社会、经济发展和海西经济区及绿色腹地建设要求高素质劳动技能人才，通过在校学习和顶岗实习，使学生掌握各种茶艺、茶产品、营销管理、服务礼仪、创业等技能和知识，将学生培养成“举止优雅、技艺精湛、知书达礼、道德高尚”的高素质人才，为学生就业打下良好的基础。本专业主要招收初中应届毕业生，在其毕业后可进一步教育学习或在各大茶艺企业、餐饮企业就业、自主创业等，服务茶文化产业，适应茶叶服务、营销和管理第一线需要，具有良好的职业道德和中国传统文化知识，具备茶叶冲泡、茶叶审评、品茗环境设计、茶品营销能力，德、智、体、美、劳全面发展的高素质劳动者和技能型人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exact"/>
        <w:textAlignment w:val="auto"/>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培养规格</w:t>
      </w:r>
      <w:bookmarkEnd w:id="16"/>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840" w:firstLineChars="3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bidi="ar"/>
        </w:rPr>
        <w:t>1</w:t>
      </w:r>
      <w:r>
        <w:rPr>
          <w:rFonts w:hint="eastAsia" w:ascii="仿宋_GB2312" w:hAnsi="仿宋_GB2312" w:eastAsia="仿宋_GB2312" w:cs="仿宋_GB2312"/>
          <w:b w:val="0"/>
          <w:bCs w:val="0"/>
          <w:color w:val="000000"/>
          <w:sz w:val="28"/>
          <w:szCs w:val="28"/>
          <w:lang w:val="en-US" w:eastAsia="zh-CN" w:bidi="ar"/>
        </w:rPr>
        <w:t>.</w:t>
      </w:r>
      <w:r>
        <w:rPr>
          <w:rFonts w:hint="eastAsia" w:ascii="仿宋_GB2312" w:hAnsi="仿宋_GB2312" w:eastAsia="仿宋_GB2312" w:cs="仿宋_GB2312"/>
          <w:b w:val="0"/>
          <w:bCs w:val="0"/>
          <w:color w:val="000000"/>
          <w:sz w:val="28"/>
          <w:szCs w:val="28"/>
          <w:lang w:bidi="ar"/>
        </w:rPr>
        <w:t>职业素养</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具有正确的世界观、人生观、价值观。具有社会公德、职业道德意识和文明行为习惯，自觉践行社会主义核心</w:t>
      </w:r>
      <w:r>
        <w:rPr>
          <w:rFonts w:hint="eastAsia" w:ascii="仿宋_GB2312" w:hAnsi="仿宋_GB2312" w:eastAsia="仿宋_GB2312" w:cs="仿宋_GB2312"/>
          <w:b w:val="0"/>
          <w:bCs w:val="0"/>
          <w:sz w:val="28"/>
          <w:szCs w:val="28"/>
          <w:lang w:eastAsia="zh-CN"/>
        </w:rPr>
        <w:t>价值观。</w:t>
      </w:r>
      <w:r>
        <w:rPr>
          <w:rFonts w:hint="eastAsia" w:ascii="仿宋_GB2312" w:hAnsi="仿宋_GB2312" w:eastAsia="仿宋_GB2312" w:cs="仿宋_GB2312"/>
          <w:b w:val="0"/>
          <w:bCs w:val="0"/>
          <w:sz w:val="28"/>
          <w:szCs w:val="28"/>
        </w:rPr>
        <w:t>热爱社会主义祖国，将实现自身价值与服务祖国人民相结合，树立社会主义民主观念和道纪守法意识，遵守职业岗位规范；树立劳动观点，养成良好的劳动习惯，增强实践能力；树立尊重自然、顺应自然、保护自然的生态文明理念;树立正确的职业理想，形成正确的就业观、创业观，做好适应社会、融入社会、就业创业准备</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）坚决拥护中国共产党领导和社会主义制度，在习近平新时代中国特色社会主义思想指引下，践行社会主义核心价值观，具有深厚的爱国情感和中华民族自豪感；</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）崇尚宪法、遵守法律、遵规守纪，具有安全意识和创新精神；</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lang w:eastAsia="zh-CN"/>
        </w:rPr>
        <w:t>）具有良好的职业道德和职业素养，崇德向善、诚实守信、爱岗敬业，具有精益求精的工匠精神；</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lang w:eastAsia="zh-CN"/>
        </w:rPr>
        <w:t>）具有较强的集体意识和团队合作精神，能够进行有效的人际沟通和协作，培养诚实守信、爱岗敬业、团结互助、勤俭节约、艰苦奋斗的优良品质，提高应对挫折、合作与竞争、适应社会的能力；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lang w:eastAsia="zh-CN"/>
        </w:rPr>
        <w:t>）具有健康的体魄和心理、健全的人格，掌握基本运动知识和1-2项运动技能，养成良好的健身和卫生习惯、以及良好的行为习惯；</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lang w:eastAsia="zh-CN"/>
        </w:rPr>
        <w:t>）具有基本的欣赏美和创造美的能力，具备一定的审美和人文素养，能够形成1-2项艺术特长或爱好；</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（8）具有从事茶事服务工作所必备的职业道德，遵守餐饮业相关法律法规，遵守餐饮业操作规范；</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（9）能够廉洁自律，坚持公平交易的营销工作廉洁自律，坚持公平交易的营销工作原则。</w:t>
      </w:r>
    </w:p>
    <w:p>
      <w:pPr>
        <w:keepNext w:val="0"/>
        <w:keepLines w:val="0"/>
        <w:pageBreakBefore w:val="0"/>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b w:val="0"/>
          <w:bCs w:val="0"/>
          <w:color w:val="000000"/>
          <w:sz w:val="28"/>
          <w:szCs w:val="28"/>
          <w:lang w:val="en-US" w:eastAsia="zh-CN" w:bidi="ar"/>
        </w:rPr>
      </w:pPr>
      <w:r>
        <w:rPr>
          <w:rFonts w:hint="eastAsia" w:ascii="仿宋_GB2312" w:hAnsi="仿宋_GB2312" w:eastAsia="仿宋_GB2312" w:cs="仿宋_GB2312"/>
          <w:b w:val="0"/>
          <w:bCs w:val="0"/>
          <w:color w:val="000000"/>
          <w:sz w:val="28"/>
          <w:szCs w:val="28"/>
          <w:lang w:val="en-US" w:eastAsia="zh-CN" w:bidi="ar"/>
        </w:rPr>
        <w:t>2.专业知识和技能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0"/>
          <w:sz w:val="28"/>
          <w:szCs w:val="28"/>
        </w:rPr>
        <w:t>专业综合技能</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①</w:t>
      </w:r>
      <w:r>
        <w:rPr>
          <w:rFonts w:hint="eastAsia" w:ascii="仿宋_GB2312" w:hAnsi="仿宋_GB2312" w:eastAsia="仿宋_GB2312" w:cs="仿宋_GB2312"/>
          <w:b w:val="0"/>
          <w:bCs w:val="0"/>
          <w:sz w:val="28"/>
          <w:szCs w:val="28"/>
        </w:rPr>
        <w:t>掌握必备的思想政治理论，科学文化基础知识和中华优秀传统文化知识；</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②</w:t>
      </w:r>
      <w:r>
        <w:rPr>
          <w:rFonts w:hint="eastAsia" w:ascii="仿宋_GB2312" w:hAnsi="仿宋_GB2312" w:eastAsia="仿宋_GB2312" w:cs="仿宋_GB2312"/>
          <w:b w:val="0"/>
          <w:bCs w:val="0"/>
          <w:sz w:val="28"/>
          <w:szCs w:val="28"/>
        </w:rPr>
        <w:t>了解中国传统商业文化和世界经济发展趋势，熟悉市场经济规则；</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③</w:t>
      </w:r>
      <w:r>
        <w:rPr>
          <w:rFonts w:hint="eastAsia" w:ascii="仿宋_GB2312" w:hAnsi="仿宋_GB2312" w:eastAsia="仿宋_GB2312" w:cs="仿宋_GB2312"/>
          <w:b w:val="0"/>
          <w:bCs w:val="0"/>
          <w:sz w:val="28"/>
          <w:szCs w:val="28"/>
        </w:rPr>
        <w:t>掌握中国茶文化发展史和茶事服务流程，遵循茶艺礼仪规范，并根据茶叶的特点选择正确的茶具和冲泡用水，选择冲泡方法，运用餐厅服务技能，向宾客介绍茶叶和茶具并提供茶事服务</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④</w:t>
      </w:r>
      <w:r>
        <w:rPr>
          <w:rFonts w:hint="eastAsia" w:ascii="仿宋_GB2312" w:hAnsi="仿宋_GB2312" w:eastAsia="仿宋_GB2312" w:cs="仿宋_GB2312"/>
          <w:b w:val="0"/>
          <w:bCs w:val="0"/>
          <w:sz w:val="28"/>
          <w:szCs w:val="28"/>
        </w:rPr>
        <w:t>掌握茶叶感官审评标准，包括绿茶、黄茶、白茶、乌龙茶、红茶、黑茶、花茶的品鉴标准，茶叶品鉴的技巧和茶具选择的方法，并能准确辨别茶叶的类型和品质</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⑤</w:t>
      </w:r>
      <w:r>
        <w:rPr>
          <w:rFonts w:hint="eastAsia" w:ascii="仿宋_GB2312" w:hAnsi="仿宋_GB2312" w:eastAsia="仿宋_GB2312" w:cs="仿宋_GB2312"/>
          <w:b w:val="0"/>
          <w:bCs w:val="0"/>
          <w:sz w:val="28"/>
          <w:szCs w:val="28"/>
        </w:rPr>
        <w:t>掌握茶艺馆实体店的经营方法和网店营销方法，能根据宾客需求推销茶品，策划茶营销活动，并根据茶艺馆经营策略选择正确的人员管理、店面卫生管理、收银管理、茶品库存控制与管理方法，处理好网店的客户关系</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b w:val="0"/>
          <w:bCs w:val="0"/>
          <w:sz w:val="28"/>
          <w:szCs w:val="28"/>
        </w:rPr>
        <w:t>掌握应用现代营养学、茶叶保健基础知识以及餐饮服务技巧为宾客进行茶膳服务、设计茶宴</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⑦</w:t>
      </w:r>
      <w:r>
        <w:rPr>
          <w:rFonts w:hint="eastAsia" w:ascii="仿宋_GB2312" w:hAnsi="仿宋_GB2312" w:eastAsia="仿宋_GB2312" w:cs="仿宋_GB2312"/>
          <w:b w:val="0"/>
          <w:bCs w:val="0"/>
          <w:sz w:val="28"/>
          <w:szCs w:val="28"/>
        </w:rPr>
        <w:t>了解茶叶、茶食等食品安全相关法律法规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专业知识</w:t>
      </w:r>
      <w:r>
        <w:rPr>
          <w:rFonts w:hint="eastAsia" w:ascii="仿宋_GB2312" w:hAnsi="仿宋_GB2312" w:eastAsia="仿宋_GB2312" w:cs="仿宋_GB2312"/>
          <w:b w:val="0"/>
          <w:bCs w:val="0"/>
          <w:sz w:val="28"/>
          <w:szCs w:val="28"/>
          <w:lang w:eastAsia="zh-CN"/>
        </w:rPr>
        <w:t>和消防安全知识</w:t>
      </w:r>
      <w:r>
        <w:rPr>
          <w:rFonts w:hint="eastAsia" w:ascii="仿宋_GB2312" w:hAnsi="仿宋_GB2312" w:eastAsia="仿宋_GB2312" w:cs="仿宋_GB2312"/>
          <w:b w:val="0"/>
          <w:bCs w:val="0"/>
          <w:sz w:val="28"/>
          <w:szCs w:val="28"/>
        </w:rPr>
        <w:t>，能按照相关要求进行实践操作</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⑧</w:t>
      </w:r>
      <w:r>
        <w:rPr>
          <w:rFonts w:hint="eastAsia" w:ascii="仿宋_GB2312" w:hAnsi="仿宋_GB2312" w:eastAsia="仿宋_GB2312" w:cs="仿宋_GB2312"/>
          <w:b w:val="0"/>
          <w:bCs w:val="0"/>
          <w:sz w:val="28"/>
          <w:szCs w:val="28"/>
        </w:rPr>
        <w:t>掌握茶品的保管、调配和出入库操作</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⑨</w:t>
      </w:r>
      <w:r>
        <w:rPr>
          <w:rFonts w:hint="eastAsia" w:ascii="仿宋_GB2312" w:hAnsi="仿宋_GB2312" w:eastAsia="仿宋_GB2312" w:cs="仿宋_GB2312"/>
          <w:b w:val="0"/>
          <w:bCs w:val="0"/>
          <w:sz w:val="28"/>
          <w:szCs w:val="28"/>
        </w:rPr>
        <w:t>掌握茶品的陈列与维护</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⑩</w:t>
      </w:r>
      <w:r>
        <w:rPr>
          <w:rFonts w:hint="eastAsia" w:ascii="仿宋_GB2312" w:hAnsi="仿宋_GB2312" w:eastAsia="仿宋_GB2312" w:cs="仿宋_GB2312"/>
          <w:b w:val="0"/>
          <w:bCs w:val="0"/>
          <w:sz w:val="28"/>
          <w:szCs w:val="28"/>
        </w:rPr>
        <w:t>掌握基本的促销方式进行活动组织和实施促销计划</w:t>
      </w:r>
      <w:r>
        <w:rPr>
          <w:rFonts w:hint="eastAsia" w:ascii="仿宋_GB2312" w:hAnsi="仿宋_GB2312" w:eastAsia="仿宋_GB2312" w:cs="仿宋_GB2312"/>
          <w:b w:val="0"/>
          <w:bCs w:val="0"/>
          <w:sz w:val="28"/>
          <w:szCs w:val="28"/>
          <w:lang w:eastAsia="zh-CN"/>
        </w:rPr>
        <w:t>。</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专业（技能）方向-</w:t>
      </w:r>
      <w:r>
        <w:rPr>
          <w:rFonts w:hint="eastAsia" w:ascii="仿宋_GB2312" w:hAnsi="仿宋_GB2312" w:eastAsia="仿宋_GB2312" w:cs="仿宋_GB2312"/>
          <w:b w:val="0"/>
          <w:bCs w:val="0"/>
          <w:sz w:val="28"/>
          <w:szCs w:val="28"/>
          <w:lang w:eastAsia="zh-CN"/>
        </w:rPr>
        <w:t>茶艺服务与管理</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①</w:t>
      </w:r>
      <w:r>
        <w:rPr>
          <w:rFonts w:hint="eastAsia" w:ascii="仿宋_GB2312" w:hAnsi="仿宋_GB2312" w:eastAsia="仿宋_GB2312" w:cs="仿宋_GB2312"/>
          <w:b w:val="0"/>
          <w:bCs w:val="0"/>
          <w:sz w:val="28"/>
          <w:szCs w:val="28"/>
        </w:rPr>
        <w:t>具有探究式学习、终身学习、分析问题和解决问题的能力；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②</w:t>
      </w:r>
      <w:r>
        <w:rPr>
          <w:rFonts w:hint="eastAsia" w:ascii="仿宋_GB2312" w:hAnsi="仿宋_GB2312" w:eastAsia="仿宋_GB2312" w:cs="仿宋_GB2312"/>
          <w:b w:val="0"/>
          <w:bCs w:val="0"/>
          <w:sz w:val="28"/>
          <w:szCs w:val="28"/>
        </w:rPr>
        <w:t>具有良好的语言、文字表达能力沟通能力；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③</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描述茶艺表演流程，遵循茶艺表演礼仪规范，根据主题和品茗环境的变化，设计并布置茶席，布置茶席，为宾客表演主题茶艺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掌握茶席的审美和设计的能力；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④</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描述举办茶会的流程，遵循茶道礼法，根据茶会主题，策划茶会活动</w:t>
      </w:r>
      <w:r>
        <w:rPr>
          <w:rFonts w:hint="eastAsia" w:ascii="仿宋_GB2312" w:hAnsi="仿宋_GB2312" w:eastAsia="仿宋_GB2312" w:cs="仿宋_GB2312"/>
          <w:b w:val="0"/>
          <w:bCs w:val="0"/>
          <w:sz w:val="28"/>
          <w:szCs w:val="28"/>
          <w:lang w:eastAsia="zh-CN"/>
        </w:rPr>
        <w:t>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⑤</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按照茶事服务流程，向宾客提供会所茶事服务，并根据宾客需要，向其介绍各国饮茶习俗</w:t>
      </w:r>
      <w:r>
        <w:rPr>
          <w:rFonts w:hint="eastAsia" w:ascii="仿宋_GB2312" w:hAnsi="仿宋_GB2312" w:eastAsia="仿宋_GB2312" w:cs="仿宋_GB2312"/>
          <w:b w:val="0"/>
          <w:bCs w:val="0"/>
          <w:sz w:val="28"/>
          <w:szCs w:val="28"/>
          <w:lang w:eastAsia="zh-CN"/>
        </w:rPr>
        <w:t>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⑥</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根据不同茶品的不用系列进行区域性的陈列和展示，并能根据促销主题、销售主题等，及时调整茶品展示</w:t>
      </w:r>
      <w:r>
        <w:rPr>
          <w:rFonts w:hint="eastAsia" w:ascii="仿宋_GB2312" w:hAnsi="仿宋_GB2312" w:eastAsia="仿宋_GB2312" w:cs="仿宋_GB2312"/>
          <w:b w:val="0"/>
          <w:bCs w:val="0"/>
          <w:sz w:val="28"/>
          <w:szCs w:val="28"/>
          <w:lang w:eastAsia="zh-CN"/>
        </w:rPr>
        <w:t>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⑦</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根据客户需要进行茶品推销，完成茶品售前、售中和售后服务工作</w:t>
      </w:r>
      <w:r>
        <w:rPr>
          <w:rFonts w:hint="eastAsia" w:ascii="仿宋_GB2312" w:hAnsi="仿宋_GB2312" w:eastAsia="仿宋_GB2312" w:cs="仿宋_GB2312"/>
          <w:b w:val="0"/>
          <w:bCs w:val="0"/>
          <w:sz w:val="28"/>
          <w:szCs w:val="28"/>
          <w:lang w:eastAsia="zh-CN"/>
        </w:rPr>
        <w:t>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⑧</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运用各种推销模式和沟通技巧，进行顾客异议处理并促成交易</w:t>
      </w:r>
      <w:r>
        <w:rPr>
          <w:rFonts w:hint="eastAsia" w:ascii="仿宋_GB2312" w:hAnsi="仿宋_GB2312" w:eastAsia="仿宋_GB2312" w:cs="仿宋_GB2312"/>
          <w:b w:val="0"/>
          <w:bCs w:val="0"/>
          <w:sz w:val="28"/>
          <w:szCs w:val="28"/>
          <w:lang w:eastAsia="zh-CN"/>
        </w:rPr>
        <w:t>的能力；</w:t>
      </w:r>
    </w:p>
    <w:p>
      <w:pPr>
        <w:pStyle w:val="2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⑨</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针对不同的茶品进行促销策划，并运用多种方式实施促销活动</w:t>
      </w:r>
      <w:r>
        <w:rPr>
          <w:rFonts w:hint="eastAsia" w:ascii="仿宋_GB2312" w:hAnsi="仿宋_GB2312" w:eastAsia="仿宋_GB2312" w:cs="仿宋_GB2312"/>
          <w:b w:val="0"/>
          <w:bCs w:val="0"/>
          <w:sz w:val="28"/>
          <w:szCs w:val="28"/>
          <w:lang w:eastAsia="zh-CN"/>
        </w:rPr>
        <w:t>的能力。</w:t>
      </w:r>
    </w:p>
    <w:p>
      <w:pPr>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360" w:lineRule="exact"/>
        <w:textAlignment w:val="auto"/>
        <w:outlineLvl w:val="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知识结构、能力结构及职业资格要求</w:t>
      </w:r>
    </w:p>
    <w:p>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rPr>
        <w:t>1.</w:t>
      </w:r>
      <w:r>
        <w:rPr>
          <w:rFonts w:hint="eastAsia" w:ascii="仿宋_GB2312" w:hAnsi="仿宋_GB2312" w:eastAsia="仿宋_GB2312" w:cs="仿宋_GB2312"/>
          <w:b w:val="0"/>
          <w:bCs w:val="0"/>
          <w:kern w:val="0"/>
          <w:sz w:val="28"/>
          <w:szCs w:val="28"/>
        </w:rPr>
        <w:t>知识结构：</w:t>
      </w:r>
    </w:p>
    <w:p>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 xml:space="preserve">掌握本专业所必需的文化基础知识。 </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pacing w:beforeAutospacing="0" w:afterAutospacing="0"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掌握人际交往与沟通的基本知识，掌握茶艺的礼仪。</w:t>
      </w:r>
    </w:p>
    <w:p>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掌握</w:t>
      </w:r>
      <w:r>
        <w:rPr>
          <w:rFonts w:hint="eastAsia" w:ascii="仿宋_GB2312" w:hAnsi="仿宋_GB2312" w:eastAsia="仿宋_GB2312" w:cs="仿宋_GB2312"/>
          <w:b w:val="0"/>
          <w:bCs w:val="0"/>
          <w:color w:val="333333"/>
          <w:sz w:val="28"/>
          <w:szCs w:val="28"/>
        </w:rPr>
        <w:t>主要茶叶的品级知识。</w:t>
      </w:r>
    </w:p>
    <w:p>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 xml:space="preserve">掌握我国茶文化基础知识。 </w:t>
      </w:r>
    </w:p>
    <w:p>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 xml:space="preserve">掌握茶室服务与管理知识。 </w:t>
      </w:r>
    </w:p>
    <w:p>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掌握各类茶的沏泡技巧及茶艺表演方法。</w:t>
      </w:r>
    </w:p>
    <w:p>
      <w:pPr>
        <w:keepNext w:val="0"/>
        <w:keepLines w:val="0"/>
        <w:pageBreakBefore w:val="0"/>
        <w:widowControl w:val="0"/>
        <w:suppressLineNumbers w:val="0"/>
        <w:kinsoku/>
        <w:wordWrap/>
        <w:overflowPunct/>
        <w:topLinePunct w:val="0"/>
        <w:autoSpaceDE w:val="0"/>
        <w:autoSpaceDN w:val="0"/>
        <w:bidi w:val="0"/>
        <w:adjustRightInd/>
        <w:spacing w:beforeAutospacing="0" w:afterAutospacing="0" w:line="360" w:lineRule="exact"/>
        <w:ind w:left="0" w:right="0" w:firstLine="560" w:firstLineChars="200"/>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2.</w:t>
      </w:r>
      <w:r>
        <w:rPr>
          <w:rFonts w:hint="eastAsia" w:ascii="仿宋_GB2312" w:hAnsi="仿宋_GB2312" w:eastAsia="仿宋_GB2312" w:cs="仿宋_GB2312"/>
          <w:b w:val="0"/>
          <w:bCs w:val="0"/>
          <w:kern w:val="0"/>
          <w:sz w:val="28"/>
          <w:szCs w:val="28"/>
        </w:rPr>
        <w:t>能力结构：</w:t>
      </w:r>
    </w:p>
    <w:p>
      <w:pPr>
        <w:keepNext w:val="0"/>
        <w:keepLines w:val="0"/>
        <w:pageBreakBefore w:val="0"/>
        <w:widowControl w:val="0"/>
        <w:numPr>
          <w:ilvl w:val="0"/>
          <w:numId w:val="0"/>
        </w:numPr>
        <w:suppressLineNumbers w:val="0"/>
        <w:kinsoku/>
        <w:wordWrap/>
        <w:overflowPunct/>
        <w:topLinePunct w:val="0"/>
        <w:bidi w:val="0"/>
        <w:adjustRightInd/>
        <w:spacing w:beforeAutospacing="0" w:afterAutospacing="0"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具有较强的语言表达能力和思维能力，能有效地与顾客沟通。</w:t>
      </w:r>
    </w:p>
    <w:p>
      <w:pPr>
        <w:keepNext w:val="0"/>
        <w:keepLines w:val="0"/>
        <w:pageBreakBefore w:val="0"/>
        <w:widowControl w:val="0"/>
        <w:suppressLineNumbers w:val="0"/>
        <w:kinsoku/>
        <w:wordWrap/>
        <w:overflowPunct/>
        <w:topLinePunct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具有胜任茶室服务和茶室基层管理的能力，具备茶叶、茶具销售技巧。</w:t>
      </w:r>
    </w:p>
    <w:p>
      <w:pPr>
        <w:keepNext w:val="0"/>
        <w:keepLines w:val="0"/>
        <w:pageBreakBefore w:val="0"/>
        <w:widowControl w:val="0"/>
        <w:suppressLineNumbers w:val="0"/>
        <w:kinsoku/>
        <w:wordWrap/>
        <w:overflowPunct/>
        <w:topLinePunct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具有茶艺表演的能力。 </w:t>
      </w:r>
    </w:p>
    <w:p>
      <w:pPr>
        <w:keepNext w:val="0"/>
        <w:keepLines w:val="0"/>
        <w:pageBreakBefore w:val="0"/>
        <w:widowControl w:val="0"/>
        <w:suppressLineNumbers w:val="0"/>
        <w:kinsoku/>
        <w:wordWrap/>
        <w:overflowPunct/>
        <w:topLinePunct w:val="0"/>
        <w:bidi w:val="0"/>
        <w:adjustRightInd/>
        <w:spacing w:beforeAutospacing="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具有一定的人际交往和社会协作能力。</w:t>
      </w:r>
    </w:p>
    <w:p>
      <w:pPr>
        <w:keepNext w:val="0"/>
        <w:keepLines w:val="0"/>
        <w:pageBreakBefore w:val="0"/>
        <w:widowControl w:val="0"/>
        <w:suppressLineNumbers w:val="0"/>
        <w:kinsoku/>
        <w:wordWrap/>
        <w:overflowPunct/>
        <w:topLinePunct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具有运用计算机进行业务操作的能力。</w:t>
      </w:r>
    </w:p>
    <w:p>
      <w:pPr>
        <w:keepNext w:val="0"/>
        <w:keepLines w:val="0"/>
        <w:pageBreakBefore w:val="0"/>
        <w:widowControl w:val="0"/>
        <w:suppressLineNumbers w:val="0"/>
        <w:kinsoku/>
        <w:wordWrap/>
        <w:overflowPunct/>
        <w:topLinePunct w:val="0"/>
        <w:bidi w:val="0"/>
        <w:adjustRightInd/>
        <w:spacing w:beforeAutospacing="0" w:afterAutospacing="0"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 xml:space="preserve">具有继续学习和适应职业变化的能力。 </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exact"/>
        <w:ind w:firstLine="560" w:firstLineChars="200"/>
        <w:textAlignment w:val="auto"/>
        <w:outlineLvl w:val="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具有一定的创业能力。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exact"/>
        <w:ind w:firstLine="560" w:firstLineChars="200"/>
        <w:textAlignment w:val="auto"/>
        <w:outlineLvl w:val="0"/>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kern w:val="0"/>
          <w:sz w:val="28"/>
          <w:szCs w:val="28"/>
          <w:lang w:val="en-US" w:eastAsia="zh-CN"/>
        </w:rPr>
        <w:t>3.</w:t>
      </w:r>
      <w:r>
        <w:rPr>
          <w:rFonts w:hint="eastAsia" w:ascii="仿宋_GB2312" w:hAnsi="仿宋_GB2312" w:eastAsia="仿宋_GB2312" w:cs="仿宋_GB2312"/>
          <w:b w:val="0"/>
          <w:bCs w:val="0"/>
          <w:kern w:val="0"/>
          <w:sz w:val="28"/>
          <w:szCs w:val="28"/>
        </w:rPr>
        <w:t>与专业和顶岗实习对应的国家职业技能工种或社会化考试、认定项目</w:t>
      </w:r>
      <w:r>
        <w:rPr>
          <w:rFonts w:hint="eastAsia" w:ascii="仿宋_GB2312" w:hAnsi="仿宋_GB2312" w:eastAsia="仿宋_GB2312" w:cs="仿宋_GB2312"/>
          <w:b w:val="0"/>
          <w:bCs w:val="0"/>
          <w:kern w:val="0"/>
          <w:sz w:val="28"/>
          <w:szCs w:val="28"/>
          <w:lang w:eastAsia="zh-CN"/>
        </w:rPr>
        <w:t>：</w:t>
      </w:r>
    </w:p>
    <w:p>
      <w:pPr>
        <w:pStyle w:val="22"/>
        <w:keepNext w:val="0"/>
        <w:keepLines w:val="0"/>
        <w:pageBreakBefore w:val="0"/>
        <w:suppressLineNumbers w:val="0"/>
        <w:kinsoku/>
        <w:wordWrap/>
        <w:overflowPunct/>
        <w:topLinePunct w:val="0"/>
        <w:bidi w:val="0"/>
        <w:adjustRightInd/>
        <w:spacing w:before="0" w:beforeAutospacing="0" w:after="0" w:afterAutospacing="0" w:line="360" w:lineRule="exact"/>
        <w:ind w:left="0" w:right="0" w:firstLine="560" w:firstLineChars="200"/>
        <w:textAlignment w:val="auto"/>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rPr>
        <w:t>学生能够保持良好的仪容仪表，能有效的与顾客沟通，掌握主要茶叶的品级知识，识别常用的茶具质量。能够根据顾客状况和季节不同中国推荐相应的茶饮，并能够熟练完成茶叶茶具的包装，经过考核，取得国家技能考试中级茶艺师（四级）资格。</w:t>
      </w:r>
      <w:bookmarkStart w:id="17" w:name="_Toc11167"/>
    </w:p>
    <w:p>
      <w:pPr>
        <w:pStyle w:val="22"/>
        <w:keepNext w:val="0"/>
        <w:keepLines w:val="0"/>
        <w:pageBreakBefore w:val="0"/>
        <w:suppressLineNumbers w:val="0"/>
        <w:kinsoku/>
        <w:wordWrap/>
        <w:overflowPunct/>
        <w:topLinePunct w:val="0"/>
        <w:bidi w:val="0"/>
        <w:adjustRightInd/>
        <w:spacing w:before="0" w:beforeAutospacing="0" w:after="0" w:afterAutospacing="0" w:line="360" w:lineRule="exact"/>
        <w:ind w:right="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、课程设置及要求</w:t>
      </w:r>
      <w:bookmarkEnd w:id="17"/>
      <w:bookmarkStart w:id="18" w:name="_Toc23913"/>
    </w:p>
    <w:bookmarkEnd w:id="18"/>
    <w:p>
      <w:pPr>
        <w:keepNext w:val="0"/>
        <w:keepLines w:val="0"/>
        <w:pageBreakBefore w:val="0"/>
        <w:kinsoku/>
        <w:wordWrap/>
        <w:overflowPunct/>
        <w:topLinePunct w:val="0"/>
        <w:bidi w:val="0"/>
        <w:adjustRightInd/>
        <w:spacing w:beforeAutospacing="0" w:afterAutospacing="0" w:line="36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一</w:t>
      </w:r>
      <w:r>
        <w:rPr>
          <w:rFonts w:hint="eastAsia" w:ascii="仿宋_GB2312" w:hAnsi="仿宋_GB2312" w:eastAsia="仿宋_GB2312" w:cs="仿宋_GB2312"/>
          <w:b w:val="0"/>
          <w:bCs w:val="0"/>
          <w:sz w:val="28"/>
          <w:szCs w:val="28"/>
        </w:rPr>
        <w:t>）公共基础课</w:t>
      </w:r>
    </w:p>
    <w:tbl>
      <w:tblPr>
        <w:tblStyle w:val="25"/>
        <w:tblW w:w="9510"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00"/>
        <w:gridCol w:w="1394"/>
        <w:gridCol w:w="567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7"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567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主要教学内容和要求</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500" w:type="dxa"/>
            <w:vMerge w:val="restar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思想政治</w:t>
            </w:r>
          </w:p>
        </w:tc>
        <w:tc>
          <w:tcPr>
            <w:tcW w:w="139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中国特色社会主义</w:t>
            </w:r>
          </w:p>
        </w:tc>
        <w:tc>
          <w:tcPr>
            <w:tcW w:w="567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依据《中等职业学校思想政治课程标准（2020年版）》开设，</w:t>
            </w:r>
            <w:r>
              <w:rPr>
                <w:rFonts w:hint="eastAsia" w:ascii="仿宋_GB2312" w:hAnsi="仿宋_GB2312" w:eastAsia="仿宋_GB2312" w:cs="仿宋_GB2312"/>
                <w:b w:val="0"/>
                <w:bCs w:val="0"/>
                <w:sz w:val="28"/>
                <w:szCs w:val="28"/>
              </w:rPr>
              <w:t>包括《中国特色社会主义》、《心理健康与职业生涯》、《哲学与人生》、《职业道德与法治》，旨在对学生进行思想政治教育、道德教育、法制教育</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心理健康</w:t>
            </w:r>
            <w:r>
              <w:rPr>
                <w:rFonts w:hint="eastAsia" w:ascii="仿宋_GB2312" w:hAnsi="仿宋_GB2312" w:eastAsia="仿宋_GB2312" w:cs="仿宋_GB2312"/>
                <w:b w:val="0"/>
                <w:bCs w:val="0"/>
                <w:sz w:val="28"/>
                <w:szCs w:val="28"/>
              </w:rPr>
              <w:t>、职业生涯和职业理想教育，提高学生的政治思想素质、职业道德和法律素质，促进学生的全面发展和综合职业能力的形成。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通过学习，使学生树立正确的职业理想，形成正确的职业观、择业观、创业观和成才观，初步具有职业生涯规划的能力；增强职业道德意识，养成良好的职业道德行为习惯；树立法治观念，增强法律意识，提高思想政治素质、职业道德素质和法律素质，促进德智体全面发展和综合职业能力形成，做好适应社会、融入社会、和就业与创业的准备。</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00" w:type="dxa"/>
            <w:vMerge w:val="continue"/>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p>
        </w:tc>
        <w:tc>
          <w:tcPr>
            <w:tcW w:w="139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心理健康与职业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生涯</w:t>
            </w:r>
          </w:p>
        </w:tc>
        <w:tc>
          <w:tcPr>
            <w:tcW w:w="567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center"/>
              <w:textAlignment w:val="auto"/>
              <w:rPr>
                <w:rFonts w:hint="eastAsia" w:ascii="仿宋_GB2312" w:hAnsi="仿宋_GB2312" w:eastAsia="仿宋_GB2312" w:cs="仿宋_GB2312"/>
                <w:b w:val="0"/>
                <w:bCs w:val="0"/>
                <w:sz w:val="28"/>
                <w:szCs w:val="28"/>
              </w:rPr>
            </w:pP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500" w:type="dxa"/>
            <w:vMerge w:val="continue"/>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p>
        </w:tc>
        <w:tc>
          <w:tcPr>
            <w:tcW w:w="139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哲学与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人生</w:t>
            </w:r>
          </w:p>
        </w:tc>
        <w:tc>
          <w:tcPr>
            <w:tcW w:w="567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center"/>
              <w:textAlignment w:val="auto"/>
              <w:rPr>
                <w:rFonts w:hint="eastAsia" w:ascii="仿宋_GB2312" w:hAnsi="仿宋_GB2312" w:eastAsia="仿宋_GB2312" w:cs="仿宋_GB2312"/>
                <w:b w:val="0"/>
                <w:bCs w:val="0"/>
                <w:sz w:val="28"/>
                <w:szCs w:val="28"/>
              </w:rPr>
            </w:pP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500" w:type="dxa"/>
            <w:vMerge w:val="continue"/>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p>
        </w:tc>
        <w:tc>
          <w:tcPr>
            <w:tcW w:w="139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职业道德与法治</w:t>
            </w:r>
          </w:p>
        </w:tc>
        <w:tc>
          <w:tcPr>
            <w:tcW w:w="567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center"/>
              <w:textAlignment w:val="auto"/>
              <w:rPr>
                <w:rFonts w:hint="eastAsia" w:ascii="仿宋_GB2312" w:hAnsi="仿宋_GB2312" w:eastAsia="仿宋_GB2312" w:cs="仿宋_GB2312"/>
                <w:b w:val="0"/>
                <w:bCs w:val="0"/>
                <w:sz w:val="28"/>
                <w:szCs w:val="28"/>
              </w:rPr>
            </w:pP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语文</w:t>
            </w:r>
          </w:p>
        </w:tc>
        <w:tc>
          <w:tcPr>
            <w:tcW w:w="56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依据《中等职业学校语文课程标准（2020年版）》开设，</w:t>
            </w:r>
            <w:r>
              <w:rPr>
                <w:rFonts w:hint="eastAsia" w:ascii="仿宋_GB2312" w:hAnsi="仿宋_GB2312" w:eastAsia="仿宋_GB2312" w:cs="仿宋_GB2312"/>
                <w:b w:val="0"/>
                <w:bCs w:val="0"/>
                <w:sz w:val="28"/>
                <w:szCs w:val="28"/>
              </w:rPr>
              <w:t>指导学生正确理解与运用语言文字，对学生进行普通话训练、现代文阅读与欣赏训练、文言文阅读与欣赏训练、实用文体写作和口语交际能力训练、信息搜集整理与运用能力训练。注重应用文写作能力的训练，为幼儿活动课程方案写作提供基本语言的支持，加强语文实践，为综合职业能力的形成，以及继续学习奠定基础。同时，引导学生重视语言的积累和感悟，接受优秀文化的熏陶，提高思想品德修养和审美情趣，形成良好的个性、健全的人格，促进职业生涯的发展。</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5"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数学</w:t>
            </w:r>
          </w:p>
        </w:tc>
        <w:tc>
          <w:tcPr>
            <w:tcW w:w="56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依据《中等职业学校数学课程标准》开设，</w:t>
            </w:r>
            <w:r>
              <w:rPr>
                <w:rFonts w:hint="eastAsia" w:ascii="仿宋_GB2312" w:hAnsi="仿宋_GB2312" w:eastAsia="仿宋_GB2312" w:cs="仿宋_GB2312"/>
                <w:b w:val="0"/>
                <w:bCs w:val="0"/>
                <w:sz w:val="28"/>
                <w:szCs w:val="28"/>
              </w:rPr>
              <w:t>使学生掌握必要的数学基础知识，注重培养学生的逻辑思维能力，通过本课程的学习，使学生掌握职业岗位和生活中必要的数学基础知识，具备必需的数学运算能力和计算工具使用能力，提高学生的空间想象、数形结合、逻辑思维和分析解决问题的能力，为学生掌握职业技能、继续学习和终身发展奠定基础。</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英语</w:t>
            </w:r>
          </w:p>
        </w:tc>
        <w:tc>
          <w:tcPr>
            <w:tcW w:w="56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依据《中等职业学校英语课程标准》开设，</w:t>
            </w:r>
            <w:r>
              <w:rPr>
                <w:rFonts w:hint="eastAsia" w:ascii="仿宋_GB2312" w:hAnsi="仿宋_GB2312" w:eastAsia="仿宋_GB2312" w:cs="仿宋_GB2312"/>
                <w:b w:val="0"/>
                <w:bCs w:val="0"/>
                <w:sz w:val="28"/>
                <w:szCs w:val="28"/>
              </w:rPr>
              <w:t>使学生掌握一定的英语基础知识和基本技能，对学生进行听、说、读、写基本技能训练</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初步运用英语进行交际的训练。通过本课程的学习，使学生能听懂英语简单对话和短文，能围绕日常话题进行初步交际，同时结合学前专业要求，渗透学前专业英语的学习，培养学生在日常生活和职业场景中的应用能力。</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信息技术</w:t>
            </w:r>
          </w:p>
        </w:tc>
        <w:tc>
          <w:tcPr>
            <w:tcW w:w="56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依据《中等职业学校信息技术课程标准》开设，</w:t>
            </w:r>
            <w:r>
              <w:rPr>
                <w:rFonts w:hint="eastAsia" w:ascii="仿宋_GB2312" w:hAnsi="仿宋_GB2312" w:eastAsia="仿宋_GB2312" w:cs="仿宋_GB2312"/>
                <w:b w:val="0"/>
                <w:bCs w:val="0"/>
                <w:sz w:val="28"/>
                <w:szCs w:val="28"/>
              </w:rPr>
              <w:t>通过学习计算机及计算机基础知识、微机操作系统、文字处理软件、电子表格软件和演示文稿软件的基本知识及基本操作方法，进一步了解、掌握计算机应用的基础知识，具有计算机基本操作、办公应用、网络应用、多媒体技术应用等基本技能，初步具有利用计算机解决学习、工作、生活中常见问题的能力。掌握现代办公中的文字处理、表格设计、演示文稿、网上浏览、电子邮件通信等常用软件的使用方法。</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体育与健康</w:t>
            </w:r>
          </w:p>
        </w:tc>
        <w:tc>
          <w:tcPr>
            <w:tcW w:w="56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依据《中等职业学校体育与健康课程标准》开设，</w:t>
            </w:r>
            <w:r>
              <w:rPr>
                <w:rFonts w:hint="eastAsia" w:ascii="仿宋_GB2312" w:hAnsi="仿宋_GB2312" w:eastAsia="仿宋_GB2312" w:cs="仿宋_GB2312"/>
                <w:b w:val="0"/>
                <w:bCs w:val="0"/>
                <w:sz w:val="28"/>
                <w:szCs w:val="28"/>
              </w:rPr>
              <w:t>树立“健康第一”的指导思想，传授体育与健康的基本文化知识、体育技能和方法，使学生掌握体育与健康的基本文化知识和技能，学会科学锻炼身体的方法，养成终身从事体育锻炼的习惯。通过科学指导和安排体育锻炼过程，培养学生的健康人格，全面促进学生的身体健康和心理健康，提高应对挫折和适应社会的能力。</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历史</w:t>
            </w:r>
          </w:p>
        </w:tc>
        <w:tc>
          <w:tcPr>
            <w:tcW w:w="56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依据《中等职业学校历史课程标准》开设，</w:t>
            </w:r>
            <w:r>
              <w:rPr>
                <w:rFonts w:hint="eastAsia" w:ascii="仿宋_GB2312" w:hAnsi="仿宋_GB2312" w:eastAsia="仿宋_GB2312" w:cs="仿宋_GB2312"/>
                <w:b w:val="0"/>
                <w:bCs w:val="0"/>
                <w:sz w:val="28"/>
                <w:szCs w:val="28"/>
              </w:rPr>
              <w:t>让学生了解中国国情，形成对祖国历史与文化的认同感，让学生正确看待家乡，了解祖国的自然条件、经济发展等方面的优势与不足，激发学生为建设家乡、建设祖国而贡献自己才智的自觉性和高度的社会责任感。</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894" w:type="dxa"/>
            <w:gridSpan w:val="2"/>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公共艺术</w:t>
            </w:r>
          </w:p>
        </w:tc>
        <w:tc>
          <w:tcPr>
            <w:tcW w:w="56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依据《中等职业学校公共艺术课程标准（2020年版）》开设，全面落实社会主义核心价值观的基本内容和要求，并与专业实际相结合，引导学生主动的参与广泛的艺术学习和活动，了解或掌握不同艺术门类的基本知识、技能和原理，丰富审美体验，增强感性认识、发展艺术鉴赏能力，树立正确的审美观念，陶冶高尚的道德情操。</w:t>
            </w:r>
          </w:p>
        </w:tc>
        <w:tc>
          <w:tcPr>
            <w:tcW w:w="115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36</w:t>
            </w:r>
          </w:p>
        </w:tc>
      </w:tr>
    </w:tbl>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公共选修课：1.畲族文化</w:t>
      </w:r>
    </w:p>
    <w:p>
      <w:pPr>
        <w:keepNext w:val="0"/>
        <w:keepLines w:val="0"/>
        <w:pageBreakBefore w:val="0"/>
        <w:widowControl w:val="0"/>
        <w:kinsoku/>
        <w:wordWrap/>
        <w:overflowPunct/>
        <w:topLinePunct w:val="0"/>
        <w:autoSpaceDE/>
        <w:autoSpaceDN/>
        <w:bidi w:val="0"/>
        <w:adjustRightInd/>
        <w:snapToGrid w:val="0"/>
        <w:spacing w:line="360" w:lineRule="exact"/>
        <w:ind w:firstLine="1680" w:firstLineChars="6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2.劳动教育</w:t>
      </w:r>
    </w:p>
    <w:p>
      <w:pPr>
        <w:keepNext w:val="0"/>
        <w:keepLines w:val="0"/>
        <w:pageBreakBefore w:val="0"/>
        <w:widowControl w:val="0"/>
        <w:kinsoku/>
        <w:wordWrap/>
        <w:overflowPunct/>
        <w:topLinePunct w:val="0"/>
        <w:autoSpaceDE/>
        <w:autoSpaceDN/>
        <w:bidi w:val="0"/>
        <w:adjustRightInd/>
        <w:snapToGrid w:val="0"/>
        <w:spacing w:line="360" w:lineRule="exact"/>
        <w:ind w:firstLine="1680" w:firstLineChars="6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3.职业素养</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19" w:name="_Toc10424"/>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rPr>
        <w:t>）专业技能课程</w:t>
      </w:r>
      <w:bookmarkEnd w:id="19"/>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1.专业核心课</w:t>
      </w:r>
    </w:p>
    <w:tbl>
      <w:tblPr>
        <w:tblStyle w:val="25"/>
        <w:tblW w:w="9338"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436"/>
        <w:gridCol w:w="6336"/>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143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633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主要教学内容和要求</w:t>
            </w:r>
          </w:p>
        </w:tc>
        <w:tc>
          <w:tcPr>
            <w:tcW w:w="79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76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4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市场营销基础</w:t>
            </w:r>
          </w:p>
        </w:tc>
        <w:tc>
          <w:tcPr>
            <w:tcW w:w="63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掌握茶业市场的基本概念、营销环节、市场定位，以及市场营销组合产品、价格、分销渠道、促销等基础理论和方法，掌握茶叶营销的方式，会运用市场营销的技巧推销茶品，协助店长或经理运作茶叶品牌和茶叶专业店</w:t>
            </w:r>
          </w:p>
        </w:tc>
        <w:tc>
          <w:tcPr>
            <w:tcW w:w="79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trPr>
        <w:tc>
          <w:tcPr>
            <w:tcW w:w="768"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14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茶席设计与茶具鉴赏</w:t>
            </w: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了解茶席及茶席设计的定义，茶席结构的基本要素;掌握茶席设计的结构方式，茶席设计的技巧，茶席设计与布置的基本方法；能布置品茗环境，能确定与提炼主题茶席会，根据茶席设计动态演示需要选择服饰与音乐，使品茗环境符合宾客需求。熟悉并掌握各类茶器及其使用方法。</w:t>
            </w:r>
          </w:p>
        </w:tc>
        <w:tc>
          <w:tcPr>
            <w:tcW w:w="798"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trPr>
        <w:tc>
          <w:tcPr>
            <w:tcW w:w="768"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143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茶叶鉴赏</w:t>
            </w: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了解评茶基础知识，茶叶品质形成过程，各大茶类的品质特行征掌握绿、红、黑、青茶品质感官审评操作方法，会分析绿、红茶品质形成原因，使学生能够运用正常的视觉、嗅觉、味觉、触觉的辨别能力，对茶叶产品的外形、汤色、香气、滋味及叶底等品质因子进行审评，从而达到鉴定茶叶品质、帮助宾客选购茶叶等目的。</w:t>
            </w:r>
          </w:p>
        </w:tc>
        <w:tc>
          <w:tcPr>
            <w:tcW w:w="798"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1" w:hRule="atLeast"/>
        </w:trPr>
        <w:tc>
          <w:tcPr>
            <w:tcW w:w="768"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w:t>
            </w:r>
          </w:p>
        </w:tc>
        <w:tc>
          <w:tcPr>
            <w:tcW w:w="14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茶艺服务</w:t>
            </w:r>
          </w:p>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highlight w:val="none"/>
                <w:lang w:val="en-US" w:eastAsia="zh-CN" w:bidi="ar-SA"/>
              </w:rPr>
            </w:pP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both"/>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sz w:val="28"/>
                <w:szCs w:val="28"/>
                <w:lang w:val="en-US" w:eastAsia="zh-CN"/>
              </w:rPr>
              <w:t>掌握各大茶类的特征，能运用玻璃杯、盖碗冲泡绿茶，熟练运用茶壶和盖碗冲泡青茶、普洱茶、红茶，能熟练调制红茶；会运用茶具的配套组合能力，进行绿茶茶艺、红茶茶艺、功夫茶艺、普洱茶茶艺、花茶茶艺、民族茶艺宾客进行茶艺服务并冲泡一壶好茶，能进行独立茶室服务。</w:t>
            </w:r>
          </w:p>
        </w:tc>
        <w:tc>
          <w:tcPr>
            <w:tcW w:w="798" w:type="dxa"/>
            <w:shd w:val="clear" w:color="auto" w:fill="FFFFFF" w:themeFill="background1"/>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highlight w:val="none"/>
                <w:lang w:eastAsia="zh-CN" w:bidi="ar-SA"/>
              </w:rPr>
            </w:pPr>
            <w:r>
              <w:rPr>
                <w:rFonts w:hint="eastAsia" w:ascii="仿宋_GB2312" w:hAnsi="仿宋_GB2312" w:eastAsia="仿宋_GB2312" w:cs="仿宋_GB2312"/>
                <w:b w:val="0"/>
                <w:bCs w:val="0"/>
                <w:sz w:val="28"/>
                <w:szCs w:val="28"/>
                <w:highlight w:val="none"/>
                <w:lang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68"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4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茶品展示技巧</w:t>
            </w:r>
          </w:p>
        </w:tc>
        <w:tc>
          <w:tcPr>
            <w:tcW w:w="6336"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熟悉并掌握各类茶品的展示方法与技巧。</w:t>
            </w:r>
          </w:p>
        </w:tc>
        <w:tc>
          <w:tcPr>
            <w:tcW w:w="798" w:type="dxa"/>
            <w:shd w:val="clear" w:color="auto" w:fill="FFFFFF" w:themeFill="background1"/>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eastAsia="zh-CN" w:bidi="ar-SA"/>
              </w:rPr>
            </w:pPr>
            <w:r>
              <w:rPr>
                <w:rFonts w:hint="eastAsia" w:ascii="仿宋_GB2312" w:hAnsi="仿宋_GB2312" w:eastAsia="仿宋_GB2312" w:cs="仿宋_GB2312"/>
                <w:b w:val="0"/>
                <w:bCs w:val="0"/>
                <w:sz w:val="28"/>
                <w:szCs w:val="28"/>
                <w:lang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6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436"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eastAsia="zh-CN"/>
              </w:rPr>
              <w:t>网络营销</w:t>
            </w:r>
          </w:p>
        </w:tc>
        <w:tc>
          <w:tcPr>
            <w:tcW w:w="63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主要了解市场营销理论的发展,电子商务营销的环境与基础、战略管理、购买者行为分析、调研、市场细分与目标市场选择、产品与服务策略、价格策略、渠道策略、营销管理、营销网站建设与管理等内容。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掌握在</w:t>
            </w:r>
            <w:r>
              <w:rPr>
                <w:rFonts w:hint="eastAsia" w:ascii="仿宋_GB2312" w:hAnsi="仿宋_GB2312" w:eastAsia="仿宋_GB2312" w:cs="仿宋_GB2312"/>
                <w:b w:val="0"/>
                <w:bCs w:val="0"/>
                <w:sz w:val="28"/>
                <w:szCs w:val="28"/>
                <w:lang w:val="en-US" w:eastAsia="zh-CN"/>
              </w:rPr>
              <w:t>网络经济的发展</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推动了网络营销理念的</w:t>
            </w:r>
            <w:r>
              <w:rPr>
                <w:rFonts w:hint="eastAsia" w:ascii="仿宋_GB2312" w:hAnsi="仿宋_GB2312" w:eastAsia="仿宋_GB2312" w:cs="仿宋_GB2312"/>
                <w:b w:val="0"/>
                <w:bCs w:val="0"/>
                <w:sz w:val="28"/>
                <w:szCs w:val="28"/>
                <w:lang w:eastAsia="zh-CN"/>
              </w:rPr>
              <w:t>合理应用</w:t>
            </w:r>
            <w:r>
              <w:rPr>
                <w:rFonts w:hint="eastAsia" w:ascii="仿宋_GB2312" w:hAnsi="仿宋_GB2312" w:eastAsia="仿宋_GB2312" w:cs="仿宋_GB2312"/>
                <w:b w:val="0"/>
                <w:bCs w:val="0"/>
                <w:sz w:val="28"/>
                <w:szCs w:val="28"/>
                <w:lang w:val="en-US" w:eastAsia="zh-CN"/>
              </w:rPr>
              <w:t>。网络营销课程的内容配合电子商务的范畴要求,将现代信息技术与传统营销理念进行有机整合并发展,形成在数字经济时代的崭新的营销理念和营销模式:它提炼近年来众多营销理念的进展,并对其进行凝练和升华:它连接传统营销,同时引领和改造传统营销的形式与方法:介绍如何用信息化技术配合企业的管理和运作,进行全部的营销活动等</w:t>
            </w:r>
          </w:p>
        </w:tc>
        <w:tc>
          <w:tcPr>
            <w:tcW w:w="798"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eastAsia="zh-CN" w:bidi="ar-SA"/>
              </w:rPr>
            </w:pPr>
            <w:r>
              <w:rPr>
                <w:rFonts w:hint="eastAsia" w:ascii="仿宋_GB2312" w:hAnsi="仿宋_GB2312" w:eastAsia="仿宋_GB2312" w:cs="仿宋_GB2312"/>
                <w:b w:val="0"/>
                <w:bCs w:val="0"/>
                <w:sz w:val="28"/>
                <w:szCs w:val="28"/>
              </w:rPr>
              <w:t>36</w:t>
            </w:r>
          </w:p>
        </w:tc>
      </w:tr>
    </w:tbl>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2.专业基础课</w:t>
      </w:r>
    </w:p>
    <w:tbl>
      <w:tblPr>
        <w:tblStyle w:val="25"/>
        <w:tblW w:w="9410"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35"/>
        <w:gridCol w:w="6283"/>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7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序号</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课程名称</w:t>
            </w:r>
          </w:p>
        </w:tc>
        <w:tc>
          <w:tcPr>
            <w:tcW w:w="6283"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主要教学内容和要求</w:t>
            </w:r>
          </w:p>
        </w:tc>
        <w:tc>
          <w:tcPr>
            <w:tcW w:w="82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茶艺服务礼仪</w:t>
            </w:r>
          </w:p>
        </w:tc>
        <w:tc>
          <w:tcPr>
            <w:tcW w:w="62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培养学生良好的形体仪态，茶艺服务礼仪</w:t>
            </w:r>
          </w:p>
        </w:tc>
        <w:tc>
          <w:tcPr>
            <w:tcW w:w="82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76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食品营养学</w:t>
            </w:r>
          </w:p>
        </w:tc>
        <w:tc>
          <w:tcPr>
            <w:tcW w:w="62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了解各类食品的营养特点和价值及其营养因素，能够根据不同人群的生理特点，掌握茶艺服务中食品与茶的搭配原则，为顾客提供正确有效地茶艺服务和茶叶销售。 </w:t>
            </w:r>
          </w:p>
        </w:tc>
        <w:tc>
          <w:tcPr>
            <w:tcW w:w="82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消费心理学</w:t>
            </w:r>
          </w:p>
        </w:tc>
        <w:tc>
          <w:tcPr>
            <w:tcW w:w="62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掌握消费心理学的基本理论知识，洞悉消费者心理活动的基本过程及心理特征，培养学生分析问题和解决问题的能力。</w:t>
            </w:r>
          </w:p>
        </w:tc>
        <w:tc>
          <w:tcPr>
            <w:tcW w:w="82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bookmarkStart w:id="20" w:name="_Toc138"/>
            <w:r>
              <w:rPr>
                <w:rFonts w:hint="eastAsia" w:ascii="仿宋_GB2312" w:hAnsi="仿宋_GB2312" w:eastAsia="仿宋_GB2312" w:cs="仿宋_GB2312"/>
                <w:b w:val="0"/>
                <w:bCs w:val="0"/>
                <w:sz w:val="28"/>
                <w:szCs w:val="28"/>
                <w:lang w:val="en-US" w:eastAsia="zh-CN"/>
              </w:rPr>
              <w:t>4</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茶文化与茶叶基础知识</w:t>
            </w:r>
          </w:p>
        </w:tc>
        <w:tc>
          <w:tcPr>
            <w:tcW w:w="62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了解茶的起源与历史，熟悉茶文化的概念及内涵；了解饮茶与健康的关系，掌握科学饮茶的方法。</w:t>
            </w:r>
          </w:p>
        </w:tc>
        <w:tc>
          <w:tcPr>
            <w:tcW w:w="82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中国茶俗与茶</w:t>
            </w:r>
          </w:p>
        </w:tc>
        <w:tc>
          <w:tcPr>
            <w:tcW w:w="62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了解各民族的饮茶习俗，了解民族传统文化的积淀与演变。</w:t>
            </w:r>
          </w:p>
        </w:tc>
        <w:tc>
          <w:tcPr>
            <w:tcW w:w="82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普通话</w:t>
            </w:r>
          </w:p>
        </w:tc>
        <w:tc>
          <w:tcPr>
            <w:tcW w:w="62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课程是针对茶艺与茶营销专业学生从交流交际以及就业的需要出发设置的，结合普通话水平测试的要求和方法进行教学，使学生不仅能掌握普通话的基本知识，更重要的是让学生发现自己普通话发音存在的问题，掌握普通话练习和提高的方法，并通过大量的训练获得普通话口语表达的基本技能、克服不良发音习惯，养成正确的发音习惯以便于更好地开展工作。</w:t>
            </w:r>
          </w:p>
        </w:tc>
        <w:tc>
          <w:tcPr>
            <w:tcW w:w="825" w:type="dxa"/>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72</w:t>
            </w:r>
          </w:p>
        </w:tc>
      </w:tr>
    </w:tbl>
    <w:p>
      <w:pPr>
        <w:keepNext w:val="0"/>
        <w:keepLines w:val="0"/>
        <w:pageBreakBefore w:val="0"/>
        <w:widowControl/>
        <w:numPr>
          <w:ilvl w:val="0"/>
          <w:numId w:val="0"/>
        </w:numPr>
        <w:kinsoku/>
        <w:wordWrap w:val="0"/>
        <w:overflowPunct/>
        <w:topLinePunct w:val="0"/>
        <w:autoSpaceDE/>
        <w:autoSpaceDN/>
        <w:bidi w:val="0"/>
        <w:adjustRightInd/>
        <w:snapToGrid w:val="0"/>
        <w:spacing w:line="315" w:lineRule="atLeast"/>
        <w:textAlignment w:val="auto"/>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（四）</w:t>
      </w:r>
      <w:r>
        <w:rPr>
          <w:rFonts w:hint="eastAsia" w:ascii="仿宋_GB2312" w:hAnsi="仿宋_GB2312" w:eastAsia="仿宋_GB2312" w:cs="仿宋_GB2312"/>
          <w:b w:val="0"/>
          <w:bCs w:val="0"/>
          <w:sz w:val="28"/>
          <w:szCs w:val="28"/>
        </w:rPr>
        <w:t>实践教学环节</w:t>
      </w:r>
      <w:bookmarkEnd w:id="20"/>
    </w:p>
    <w:p>
      <w:pPr>
        <w:keepNext w:val="0"/>
        <w:keepLines w:val="0"/>
        <w:pageBreakBefore w:val="0"/>
        <w:widowControl/>
        <w:numPr>
          <w:ilvl w:val="0"/>
          <w:numId w:val="0"/>
        </w:numPr>
        <w:kinsoku/>
        <w:wordWrap w:val="0"/>
        <w:overflowPunct/>
        <w:topLinePunct w:val="0"/>
        <w:autoSpaceDE/>
        <w:autoSpaceDN/>
        <w:bidi w:val="0"/>
        <w:adjustRightInd/>
        <w:snapToGrid w:val="0"/>
        <w:spacing w:line="315" w:lineRule="atLeast"/>
        <w:textAlignment w:val="auto"/>
        <w:outlineLvl w:val="1"/>
        <w:rPr>
          <w:rFonts w:hint="eastAsia" w:ascii="仿宋_GB2312" w:hAnsi="仿宋_GB2312" w:eastAsia="仿宋_GB2312" w:cs="仿宋_GB2312"/>
          <w:b w:val="0"/>
          <w:bCs w:val="0"/>
          <w:sz w:val="28"/>
          <w:szCs w:val="28"/>
        </w:rPr>
      </w:pPr>
    </w:p>
    <w:tbl>
      <w:tblPr>
        <w:tblStyle w:val="25"/>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9"/>
        <w:gridCol w:w="1020"/>
        <w:gridCol w:w="4352"/>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13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项目名称</w:t>
            </w:r>
          </w:p>
        </w:tc>
        <w:tc>
          <w:tcPr>
            <w:tcW w:w="5372" w:type="dxa"/>
            <w:gridSpan w:val="2"/>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主要教学内容与要求</w:t>
            </w:r>
          </w:p>
        </w:tc>
        <w:tc>
          <w:tcPr>
            <w:tcW w:w="235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47" w:hRule="atLeast"/>
          <w:jc w:val="center"/>
        </w:trPr>
        <w:tc>
          <w:tcPr>
            <w:tcW w:w="1399" w:type="dxa"/>
            <w:vMerge w:val="restart"/>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综合</w:t>
            </w:r>
            <w:r>
              <w:rPr>
                <w:rFonts w:hint="eastAsia" w:ascii="仿宋_GB2312" w:hAnsi="仿宋_GB2312" w:eastAsia="仿宋_GB2312" w:cs="仿宋_GB2312"/>
                <w:b w:val="0"/>
                <w:bCs w:val="0"/>
                <w:sz w:val="28"/>
                <w:szCs w:val="28"/>
              </w:rPr>
              <w:t>实训</w:t>
            </w:r>
          </w:p>
        </w:tc>
        <w:tc>
          <w:tcPr>
            <w:tcW w:w="1020" w:type="dxa"/>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训</w:t>
            </w:r>
          </w:p>
        </w:tc>
        <w:tc>
          <w:tcPr>
            <w:tcW w:w="4352" w:type="dxa"/>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掌握应用现代营养学、茶叶保健基础知识以及餐饮服务技巧为宾客进行茶膳服务、设计茶宴；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描述茶艺表演流程，遵循茶艺表演礼仪规范，根据主题和品茗环境的变化，设计并布置茶席，布置茶席，为宾客表演主题茶艺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掌握茶席的审美和设计的能力</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具有</w:t>
            </w:r>
            <w:r>
              <w:rPr>
                <w:rFonts w:hint="eastAsia" w:ascii="仿宋_GB2312" w:hAnsi="仿宋_GB2312" w:eastAsia="仿宋_GB2312" w:cs="仿宋_GB2312"/>
                <w:b w:val="0"/>
                <w:bCs w:val="0"/>
                <w:sz w:val="28"/>
                <w:szCs w:val="28"/>
              </w:rPr>
              <w:t>描述举办茶会的流程，遵循茶道礼法，根据茶会主题，策划茶会活动</w:t>
            </w:r>
            <w:r>
              <w:rPr>
                <w:rFonts w:hint="eastAsia" w:ascii="仿宋_GB2312" w:hAnsi="仿宋_GB2312" w:eastAsia="仿宋_GB2312" w:cs="仿宋_GB2312"/>
                <w:b w:val="0"/>
                <w:bCs w:val="0"/>
                <w:sz w:val="28"/>
                <w:szCs w:val="28"/>
                <w:lang w:eastAsia="zh-CN"/>
              </w:rPr>
              <w:t>的能力</w:t>
            </w:r>
            <w:r>
              <w:rPr>
                <w:rFonts w:hint="eastAsia" w:ascii="仿宋_GB2312" w:hAnsi="仿宋_GB2312" w:eastAsia="仿宋_GB2312" w:cs="仿宋_GB2312"/>
                <w:b w:val="0"/>
                <w:bCs w:val="0"/>
                <w:sz w:val="28"/>
                <w:szCs w:val="28"/>
              </w:rPr>
              <w:t>。</w:t>
            </w:r>
          </w:p>
        </w:tc>
        <w:tc>
          <w:tcPr>
            <w:tcW w:w="2354" w:type="dxa"/>
            <w:vMerge w:val="restart"/>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按工作过程，以项目实训形式开展教学，结合相应的职业资格标准要求进行教学，指导学生获取相应职业资格证书。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8" w:hRule="atLeast"/>
          <w:jc w:val="center"/>
        </w:trPr>
        <w:tc>
          <w:tcPr>
            <w:tcW w:w="1399" w:type="dxa"/>
            <w:vMerge w:val="continue"/>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p>
        </w:tc>
        <w:tc>
          <w:tcPr>
            <w:tcW w:w="1020" w:type="dxa"/>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训</w:t>
            </w:r>
          </w:p>
        </w:tc>
        <w:tc>
          <w:tcPr>
            <w:tcW w:w="4352" w:type="dxa"/>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掌握中国茶文化发展史和茶事服务流程，遵循茶艺礼仪规范，并根据茶叶的特点选择正确的茶具和冲泡用水，选择冲泡方法，运用餐厅服务技能，向宾客介绍茶叶和茶具并提供茶事服务；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掌握茶叶感官审评标准，包括绿茶、黄茶、白茶、乌龙茶、红茶、黑茶、花茶的品鉴标准，茶叶品鉴的技巧和茶具选择的方法，并能准确辨别茶叶的类型和品质；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掌握茶艺馆实体店的经营方法和网店营销方法，能根据宾客需求推销茶品，策划茶营销活动，并根据茶艺馆经营策略选择正确的人员管理、店面卫生管理、收银管理、茶品库存控制与管理方法，处理好网店的客户关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了解茶叶、茶食等食品安全相关法律法规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专业知识</w:t>
            </w:r>
            <w:r>
              <w:rPr>
                <w:rFonts w:hint="eastAsia" w:ascii="仿宋_GB2312" w:hAnsi="仿宋_GB2312" w:eastAsia="仿宋_GB2312" w:cs="仿宋_GB2312"/>
                <w:b w:val="0"/>
                <w:bCs w:val="0"/>
                <w:sz w:val="28"/>
                <w:szCs w:val="28"/>
                <w:lang w:eastAsia="zh-CN"/>
              </w:rPr>
              <w:t>和消防安全知识</w:t>
            </w:r>
            <w:r>
              <w:rPr>
                <w:rFonts w:hint="eastAsia" w:ascii="仿宋_GB2312" w:hAnsi="仿宋_GB2312" w:eastAsia="仿宋_GB2312" w:cs="仿宋_GB2312"/>
                <w:b w:val="0"/>
                <w:bCs w:val="0"/>
                <w:sz w:val="28"/>
                <w:szCs w:val="28"/>
              </w:rPr>
              <w:t>，能按照相关要求进行实践操作；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掌握基本的促销方式进行活动组织和实施促销计划。</w:t>
            </w:r>
          </w:p>
        </w:tc>
        <w:tc>
          <w:tcPr>
            <w:tcW w:w="2354" w:type="dxa"/>
            <w:vMerge w:val="continue"/>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0" w:hRule="atLeast"/>
          <w:jc w:val="center"/>
        </w:trPr>
        <w:tc>
          <w:tcPr>
            <w:tcW w:w="13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顶岗实习</w:t>
            </w:r>
          </w:p>
        </w:tc>
        <w:tc>
          <w:tcPr>
            <w:tcW w:w="5372" w:type="dxa"/>
            <w:gridSpan w:val="2"/>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通过顶岗实习，是学生更好地将理论与实践相结合，全面巩固、锻炼实践操作技能，为就业打下坚实基础。顶岗实习的主要任务是让学生熟悉</w:t>
            </w:r>
            <w:r>
              <w:rPr>
                <w:rFonts w:hint="eastAsia" w:ascii="仿宋_GB2312" w:hAnsi="仿宋_GB2312" w:eastAsia="仿宋_GB2312" w:cs="仿宋_GB2312"/>
                <w:b w:val="0"/>
                <w:bCs w:val="0"/>
                <w:sz w:val="28"/>
                <w:szCs w:val="28"/>
                <w:lang w:val="en-US" w:eastAsia="zh-CN"/>
              </w:rPr>
              <w:t>茶艺与营销</w:t>
            </w:r>
            <w:r>
              <w:rPr>
                <w:rFonts w:hint="eastAsia" w:ascii="仿宋_GB2312" w:hAnsi="仿宋_GB2312" w:eastAsia="仿宋_GB2312" w:cs="仿宋_GB2312"/>
                <w:b w:val="0"/>
                <w:bCs w:val="0"/>
                <w:sz w:val="28"/>
                <w:szCs w:val="28"/>
              </w:rPr>
              <w:t>工作的性质和职责，进一步掌握</w:t>
            </w:r>
            <w:r>
              <w:rPr>
                <w:rFonts w:hint="eastAsia" w:ascii="仿宋_GB2312" w:hAnsi="仿宋_GB2312" w:eastAsia="仿宋_GB2312" w:cs="仿宋_GB2312"/>
                <w:b w:val="0"/>
                <w:bCs w:val="0"/>
                <w:sz w:val="28"/>
                <w:szCs w:val="28"/>
                <w:lang w:eastAsia="zh-CN"/>
              </w:rPr>
              <w:t>茶艺服务</w:t>
            </w:r>
            <w:r>
              <w:rPr>
                <w:rFonts w:hint="eastAsia" w:ascii="仿宋_GB2312" w:hAnsi="仿宋_GB2312" w:eastAsia="仿宋_GB2312" w:cs="仿宋_GB2312"/>
                <w:b w:val="0"/>
                <w:bCs w:val="0"/>
                <w:sz w:val="28"/>
                <w:szCs w:val="28"/>
              </w:rPr>
              <w:t>工作的基本内容和特点；通过</w:t>
            </w:r>
            <w:r>
              <w:rPr>
                <w:rFonts w:hint="eastAsia" w:ascii="仿宋_GB2312" w:hAnsi="仿宋_GB2312" w:eastAsia="仿宋_GB2312" w:cs="仿宋_GB2312"/>
                <w:b w:val="0"/>
                <w:bCs w:val="0"/>
                <w:sz w:val="28"/>
                <w:szCs w:val="28"/>
                <w:lang w:eastAsia="zh-CN"/>
              </w:rPr>
              <w:t>茶席设计与营销策划</w:t>
            </w:r>
            <w:r>
              <w:rPr>
                <w:rFonts w:hint="eastAsia" w:ascii="仿宋_GB2312" w:hAnsi="仿宋_GB2312" w:eastAsia="仿宋_GB2312" w:cs="仿宋_GB2312"/>
                <w:b w:val="0"/>
                <w:bCs w:val="0"/>
                <w:sz w:val="28"/>
                <w:szCs w:val="28"/>
              </w:rPr>
              <w:t>，培养学生</w:t>
            </w:r>
            <w:r>
              <w:rPr>
                <w:rFonts w:hint="eastAsia" w:ascii="仿宋_GB2312" w:hAnsi="仿宋_GB2312" w:eastAsia="仿宋_GB2312" w:cs="仿宋_GB2312"/>
                <w:b w:val="0"/>
                <w:bCs w:val="0"/>
                <w:sz w:val="28"/>
                <w:szCs w:val="28"/>
                <w:lang w:eastAsia="zh-CN"/>
              </w:rPr>
              <w:t>审美和设计</w:t>
            </w:r>
            <w:r>
              <w:rPr>
                <w:rFonts w:hint="eastAsia" w:ascii="仿宋_GB2312" w:hAnsi="仿宋_GB2312" w:eastAsia="仿宋_GB2312" w:cs="仿宋_GB2312"/>
                <w:b w:val="0"/>
                <w:bCs w:val="0"/>
                <w:sz w:val="28"/>
                <w:szCs w:val="28"/>
              </w:rPr>
              <w:t>的能力，学习</w:t>
            </w:r>
            <w:r>
              <w:rPr>
                <w:rFonts w:hint="eastAsia" w:ascii="仿宋_GB2312" w:hAnsi="仿宋_GB2312" w:eastAsia="仿宋_GB2312" w:cs="仿宋_GB2312"/>
                <w:b w:val="0"/>
                <w:bCs w:val="0"/>
                <w:sz w:val="28"/>
                <w:szCs w:val="28"/>
                <w:lang w:eastAsia="zh-CN"/>
              </w:rPr>
              <w:t>茶艺服务人员和营销人员</w:t>
            </w:r>
            <w:r>
              <w:rPr>
                <w:rFonts w:hint="eastAsia" w:ascii="仿宋_GB2312" w:hAnsi="仿宋_GB2312" w:eastAsia="仿宋_GB2312" w:cs="仿宋_GB2312"/>
                <w:b w:val="0"/>
                <w:bCs w:val="0"/>
                <w:sz w:val="28"/>
                <w:szCs w:val="28"/>
              </w:rPr>
              <w:t>的优秀品质和敬业</w:t>
            </w:r>
            <w:r>
              <w:rPr>
                <w:rFonts w:hint="eastAsia" w:ascii="仿宋_GB2312" w:hAnsi="仿宋_GB2312" w:eastAsia="仿宋_GB2312" w:cs="仿宋_GB2312"/>
                <w:b w:val="0"/>
                <w:bCs w:val="0"/>
                <w:sz w:val="28"/>
                <w:szCs w:val="28"/>
                <w:lang w:val="en-US" w:eastAsia="zh-CN"/>
              </w:rPr>
              <w:t>精神</w:t>
            </w:r>
            <w:r>
              <w:rPr>
                <w:rFonts w:hint="eastAsia" w:ascii="仿宋_GB2312" w:hAnsi="仿宋_GB2312" w:eastAsia="仿宋_GB2312" w:cs="仿宋_GB2312"/>
                <w:b w:val="0"/>
                <w:bCs w:val="0"/>
                <w:sz w:val="28"/>
                <w:szCs w:val="28"/>
              </w:rPr>
              <w:t>，增强适应岗位的能力。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仿宋_GB2312" w:hAnsi="仿宋_GB2312" w:eastAsia="仿宋_GB2312" w:cs="仿宋_GB2312"/>
                <w:b w:val="0"/>
                <w:bCs w:val="0"/>
                <w:sz w:val="28"/>
                <w:szCs w:val="28"/>
              </w:rPr>
            </w:pPr>
          </w:p>
        </w:tc>
        <w:tc>
          <w:tcPr>
            <w:tcW w:w="2354" w:type="dxa"/>
            <w:vMerge w:val="continue"/>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bCs/>
          <w:sz w:val="28"/>
          <w:szCs w:val="28"/>
        </w:rPr>
      </w:pPr>
      <w:bookmarkStart w:id="21" w:name="_Toc14550"/>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教学进程总体安排</w:t>
      </w:r>
      <w:bookmarkEnd w:id="21"/>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茶艺与茶营销专业教学计划</w:t>
      </w:r>
    </w:p>
    <w:tbl>
      <w:tblPr>
        <w:tblStyle w:val="25"/>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2"/>
        <w:gridCol w:w="578"/>
        <w:gridCol w:w="1674"/>
        <w:gridCol w:w="703"/>
        <w:gridCol w:w="703"/>
        <w:gridCol w:w="703"/>
        <w:gridCol w:w="626"/>
        <w:gridCol w:w="703"/>
        <w:gridCol w:w="703"/>
        <w:gridCol w:w="703"/>
        <w:gridCol w:w="703"/>
        <w:gridCol w:w="703"/>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98" w:hRule="atLeast"/>
          <w:jc w:val="center"/>
        </w:trPr>
        <w:tc>
          <w:tcPr>
            <w:tcW w:w="1290" w:type="dxa"/>
            <w:gridSpan w:val="2"/>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课程类别</w:t>
            </w:r>
          </w:p>
        </w:tc>
        <w:tc>
          <w:tcPr>
            <w:tcW w:w="1674"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课程名称</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学时</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理论学时</w:t>
            </w:r>
          </w:p>
        </w:tc>
        <w:tc>
          <w:tcPr>
            <w:tcW w:w="703"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实践学时</w:t>
            </w:r>
          </w:p>
        </w:tc>
        <w:tc>
          <w:tcPr>
            <w:tcW w:w="626"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学分</w:t>
            </w:r>
          </w:p>
        </w:tc>
        <w:tc>
          <w:tcPr>
            <w:tcW w:w="4257" w:type="dxa"/>
            <w:gridSpan w:val="6"/>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290" w:type="dxa"/>
            <w:gridSpan w:val="2"/>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167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626"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1</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5</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1290" w:type="dxa"/>
            <w:gridSpan w:val="2"/>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1674"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626"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000000"/>
                <w:sz w:val="28"/>
                <w:szCs w:val="28"/>
                <w:u w:val="none"/>
              </w:rPr>
            </w:pP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课堂教学18周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周机动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课堂教学18周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周机动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课堂教学18周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周机动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课堂教学18周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周机动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周</w:t>
            </w:r>
          </w:p>
        </w:tc>
        <w:tc>
          <w:tcPr>
            <w:tcW w:w="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课堂教学18周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周机动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周</w:t>
            </w:r>
          </w:p>
        </w:tc>
        <w:tc>
          <w:tcPr>
            <w:tcW w:w="7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712"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公</w:t>
            </w:r>
          </w:p>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共</w:t>
            </w:r>
          </w:p>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础</w:t>
            </w:r>
          </w:p>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课</w:t>
            </w:r>
          </w:p>
        </w:tc>
        <w:tc>
          <w:tcPr>
            <w:tcW w:w="57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必修课、限定选修</w:t>
            </w: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中国特色社会主义</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心理健康与职业生涯</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哲学与人生</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职业道德与法治</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语文</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198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132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66</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数学</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144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48</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英语</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144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48</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信息技术</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108</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50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58</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体育与健康</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180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120</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公共艺术</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62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历史</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72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劳动教育</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12"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8"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74"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职业素养</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18</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964" w:type="dxa"/>
            <w:gridSpan w:val="3"/>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公共基础课小计</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1080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626</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456</w:t>
            </w:r>
          </w:p>
        </w:tc>
        <w:tc>
          <w:tcPr>
            <w:tcW w:w="626"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60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15</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15</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703"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42"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bl>
    <w:tbl>
      <w:tblPr>
        <w:tblStyle w:val="25"/>
        <w:tblpPr w:leftFromText="180" w:rightFromText="180" w:vertAnchor="text" w:horzAnchor="page" w:tblpX="1030" w:tblpY="71"/>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5"/>
        <w:gridCol w:w="570"/>
        <w:gridCol w:w="1665"/>
        <w:gridCol w:w="705"/>
        <w:gridCol w:w="720"/>
        <w:gridCol w:w="705"/>
        <w:gridCol w:w="585"/>
        <w:gridCol w:w="720"/>
        <w:gridCol w:w="735"/>
        <w:gridCol w:w="690"/>
        <w:gridCol w:w="69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2" w:hRule="atLeast"/>
        </w:trPr>
        <w:tc>
          <w:tcPr>
            <w:tcW w:w="70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专业技能课</w:t>
            </w:r>
          </w:p>
        </w:tc>
        <w:tc>
          <w:tcPr>
            <w:tcW w:w="57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专业核心课</w:t>
            </w:r>
          </w:p>
        </w:tc>
        <w:tc>
          <w:tcPr>
            <w:tcW w:w="166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市场营销基础</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144</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72</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72</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4</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4</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茶叶鉴赏</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72</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44</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茶席设计与茶具鉴赏</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108</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36</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72</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　</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茶艺服务</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themeColor="text1"/>
                <w:sz w:val="28"/>
                <w:szCs w:val="28"/>
                <w:highlight w:val="none"/>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108</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36</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themeColor="text1"/>
                <w:sz w:val="28"/>
                <w:szCs w:val="28"/>
                <w:highlight w:val="none"/>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72</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6</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　</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网络营销</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茶品展示技巧</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72</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44</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专业基础课课</w:t>
            </w:r>
          </w:p>
        </w:tc>
        <w:tc>
          <w:tcPr>
            <w:tcW w:w="166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茶文化与茶叶基础知识</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144</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72</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72</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　4</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普通话</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72</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20</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52</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　2</w:t>
            </w: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　</w:t>
            </w: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　</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茶艺服务礼仪</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36</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18</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18</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食品营养学</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b w:val="0"/>
                <w:bCs w:val="0"/>
                <w:i w:val="0"/>
                <w:iCs w:val="0"/>
                <w:color w:val="auto"/>
                <w:sz w:val="28"/>
                <w:szCs w:val="28"/>
                <w:u w:val="none"/>
                <w:lang w:val="en-US" w:eastAsia="zh-CN"/>
              </w:rPr>
              <w:t>36</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18</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18</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　</w:t>
            </w: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消费心理学</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54</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30</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　</w:t>
            </w: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中国茶俗与茶</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54</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30</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　</w:t>
            </w: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restart"/>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lang w:eastAsia="zh-CN"/>
              </w:rPr>
            </w:pPr>
            <w:r>
              <w:rPr>
                <w:rFonts w:hint="eastAsia" w:ascii="仿宋_GB2312" w:hAnsi="仿宋_GB2312" w:eastAsia="仿宋_GB2312" w:cs="仿宋_GB2312"/>
                <w:b w:val="0"/>
                <w:bCs w:val="0"/>
                <w:i w:val="0"/>
                <w:iCs w:val="0"/>
                <w:color w:val="000000"/>
                <w:sz w:val="28"/>
                <w:szCs w:val="28"/>
                <w:u w:val="none"/>
                <w:lang w:eastAsia="zh-CN"/>
              </w:rPr>
              <w:t>选修课</w:t>
            </w: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商务软文写作</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72</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20</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52</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茶叶加工</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72</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18</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54</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书法</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72</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18</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54</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570"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16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茶叶审评</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224</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72</w:t>
            </w:r>
          </w:p>
        </w:tc>
        <w:tc>
          <w:tcPr>
            <w:tcW w:w="70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152</w:t>
            </w:r>
          </w:p>
        </w:tc>
        <w:tc>
          <w:tcPr>
            <w:tcW w:w="58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735"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2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2940" w:type="dxa"/>
            <w:gridSpan w:val="3"/>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专业技能课小计</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auto"/>
                <w:sz w:val="28"/>
                <w:szCs w:val="28"/>
                <w:u w:val="none"/>
                <w:lang w:val="en-US"/>
              </w:rPr>
            </w:pPr>
            <w:r>
              <w:rPr>
                <w:rFonts w:hint="eastAsia" w:ascii="仿宋_GB2312" w:hAnsi="仿宋_GB2312" w:eastAsia="仿宋_GB2312" w:cs="仿宋_GB2312"/>
                <w:b w:val="0"/>
                <w:bCs w:val="0"/>
                <w:i w:val="0"/>
                <w:iCs w:val="0"/>
                <w:color w:val="auto"/>
                <w:kern w:val="0"/>
                <w:sz w:val="28"/>
                <w:szCs w:val="28"/>
                <w:u w:val="none"/>
                <w:lang w:val="en-US" w:eastAsia="zh-CN" w:bidi="ar"/>
              </w:rPr>
              <w:t>1440</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528</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848</w:t>
            </w:r>
          </w:p>
        </w:tc>
        <w:tc>
          <w:tcPr>
            <w:tcW w:w="58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72</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14</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14</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20</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5"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实践教学环节</w:t>
            </w:r>
          </w:p>
        </w:tc>
        <w:tc>
          <w:tcPr>
            <w:tcW w:w="2235" w:type="dxa"/>
            <w:gridSpan w:val="2"/>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认知实习</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p>
        </w:tc>
        <w:tc>
          <w:tcPr>
            <w:tcW w:w="58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2周</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2235" w:type="dxa"/>
            <w:gridSpan w:val="2"/>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顶岗实习</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p>
        </w:tc>
        <w:tc>
          <w:tcPr>
            <w:tcW w:w="58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705" w:type="dxa"/>
            <w:vMerge w:val="continue"/>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i w:val="0"/>
                <w:iCs w:val="0"/>
                <w:color w:val="000000"/>
                <w:sz w:val="28"/>
                <w:szCs w:val="28"/>
                <w:u w:val="none"/>
              </w:rPr>
            </w:pPr>
          </w:p>
        </w:tc>
        <w:tc>
          <w:tcPr>
            <w:tcW w:w="2235" w:type="dxa"/>
            <w:gridSpan w:val="2"/>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顶岗实习</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540</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540</w:t>
            </w:r>
          </w:p>
        </w:tc>
        <w:tc>
          <w:tcPr>
            <w:tcW w:w="58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30</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2940" w:type="dxa"/>
            <w:gridSpan w:val="3"/>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实践教学环节小计</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540</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0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540</w:t>
            </w:r>
          </w:p>
        </w:tc>
        <w:tc>
          <w:tcPr>
            <w:tcW w:w="58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30</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2940" w:type="dxa"/>
            <w:gridSpan w:val="3"/>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合计</w:t>
            </w:r>
          </w:p>
        </w:tc>
        <w:tc>
          <w:tcPr>
            <w:tcW w:w="70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3060</w:t>
            </w:r>
          </w:p>
        </w:tc>
        <w:tc>
          <w:tcPr>
            <w:tcW w:w="720"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1154</w:t>
            </w:r>
          </w:p>
        </w:tc>
        <w:tc>
          <w:tcPr>
            <w:tcW w:w="705" w:type="dxa"/>
            <w:tcBorders>
              <w:tl2br w:val="nil"/>
              <w:tr2bl w:val="nil"/>
            </w:tcBorders>
            <w:shd w:val="clear" w:color="auto" w:fill="FFFFFF" w:themeFill="background1"/>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1906</w:t>
            </w:r>
          </w:p>
        </w:tc>
        <w:tc>
          <w:tcPr>
            <w:tcW w:w="58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162</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735"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69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720" w:type="dxa"/>
            <w:tcBorders>
              <w:tl2br w:val="nil"/>
              <w:tr2bl w:val="nil"/>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w:t>
            </w:r>
          </w:p>
        </w:tc>
      </w:tr>
    </w:tbl>
    <w:tbl>
      <w:tblPr>
        <w:tblStyle w:val="26"/>
        <w:tblpPr w:leftFromText="180" w:rightFromText="180" w:vertAnchor="text" w:tblpX="-2879" w:tblpY="-7148"/>
        <w:tblOverlap w:val="never"/>
        <w:tblW w:w="1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344" w:type="dxa"/>
            <w:tcBorders>
              <w:bottom w:val="nil"/>
              <w:right w:val="nil"/>
            </w:tcBorders>
          </w:tcPr>
          <w:p>
            <w:pPr>
              <w:keepNext w:val="0"/>
              <w:keepLines w:val="0"/>
              <w:pageBreakBefore w:val="0"/>
              <w:widowControl/>
              <w:suppressLineNumbers w:val="0"/>
              <w:tabs>
                <w:tab w:val="left" w:pos="2932"/>
                <w:tab w:val="left" w:pos="3628"/>
                <w:tab w:val="left" w:pos="4324"/>
                <w:tab w:val="left" w:pos="5020"/>
                <w:tab w:val="left" w:pos="5640"/>
                <w:tab w:val="left" w:pos="6336"/>
                <w:tab w:val="left" w:pos="7032"/>
                <w:tab w:val="left" w:pos="7728"/>
                <w:tab w:val="left" w:pos="8424"/>
                <w:tab w:val="left" w:pos="9120"/>
              </w:tabs>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b w:val="0"/>
                <w:bCs w:val="0"/>
                <w:sz w:val="28"/>
                <w:szCs w:val="28"/>
                <w:vertAlign w:val="baseline"/>
              </w:rPr>
            </w:pPr>
          </w:p>
        </w:tc>
      </w:tr>
    </w:tbl>
    <w:p>
      <w:pPr>
        <w:keepNext w:val="0"/>
        <w:keepLines w:val="0"/>
        <w:pageBreakBefore w:val="0"/>
        <w:widowControl/>
        <w:suppressLineNumbers w:val="0"/>
        <w:tabs>
          <w:tab w:val="left" w:pos="2932"/>
          <w:tab w:val="left" w:pos="3628"/>
          <w:tab w:val="left" w:pos="4324"/>
          <w:tab w:val="left" w:pos="5020"/>
          <w:tab w:val="left" w:pos="5640"/>
          <w:tab w:val="left" w:pos="6336"/>
          <w:tab w:val="left" w:pos="7032"/>
          <w:tab w:val="left" w:pos="7728"/>
          <w:tab w:val="left" w:pos="8424"/>
          <w:tab w:val="left" w:pos="9120"/>
        </w:tabs>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b w:val="0"/>
          <w:bCs w:val="0"/>
          <w:sz w:val="28"/>
          <w:szCs w:val="28"/>
        </w:rPr>
      </w:pPr>
    </w:p>
    <w:p>
      <w:pPr>
        <w:keepNext w:val="0"/>
        <w:keepLines w:val="0"/>
        <w:pageBreakBefore w:val="0"/>
        <w:widowControl/>
        <w:suppressLineNumbers w:val="0"/>
        <w:tabs>
          <w:tab w:val="left" w:pos="2932"/>
          <w:tab w:val="left" w:pos="3628"/>
          <w:tab w:val="left" w:pos="4324"/>
          <w:tab w:val="left" w:pos="5020"/>
          <w:tab w:val="left" w:pos="5640"/>
          <w:tab w:val="left" w:pos="6336"/>
          <w:tab w:val="left" w:pos="7032"/>
          <w:tab w:val="left" w:pos="7728"/>
          <w:tab w:val="left" w:pos="8424"/>
          <w:tab w:val="left" w:pos="9120"/>
        </w:tabs>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b w:val="0"/>
          <w:bCs w:val="0"/>
          <w:sz w:val="28"/>
          <w:szCs w:val="28"/>
        </w:rPr>
      </w:pPr>
    </w:p>
    <w:p>
      <w:pPr>
        <w:keepNext w:val="0"/>
        <w:keepLines w:val="0"/>
        <w:pageBreakBefore w:val="0"/>
        <w:widowControl/>
        <w:suppressLineNumbers w:val="0"/>
        <w:tabs>
          <w:tab w:val="left" w:pos="2932"/>
          <w:tab w:val="left" w:pos="3628"/>
          <w:tab w:val="left" w:pos="4324"/>
          <w:tab w:val="left" w:pos="5020"/>
          <w:tab w:val="left" w:pos="5640"/>
          <w:tab w:val="left" w:pos="6336"/>
          <w:tab w:val="left" w:pos="7032"/>
          <w:tab w:val="left" w:pos="7728"/>
          <w:tab w:val="left" w:pos="8424"/>
          <w:tab w:val="left" w:pos="9120"/>
        </w:tabs>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b w:val="0"/>
          <w:bCs w:val="0"/>
          <w:sz w:val="28"/>
          <w:szCs w:val="28"/>
        </w:rPr>
      </w:pPr>
    </w:p>
    <w:p>
      <w:pPr>
        <w:keepNext w:val="0"/>
        <w:keepLines w:val="0"/>
        <w:pageBreakBefore w:val="0"/>
        <w:widowControl/>
        <w:suppressLineNumbers w:val="0"/>
        <w:tabs>
          <w:tab w:val="left" w:pos="2932"/>
          <w:tab w:val="left" w:pos="3628"/>
          <w:tab w:val="left" w:pos="4324"/>
          <w:tab w:val="left" w:pos="5020"/>
          <w:tab w:val="left" w:pos="5640"/>
          <w:tab w:val="left" w:pos="6336"/>
          <w:tab w:val="left" w:pos="7032"/>
          <w:tab w:val="left" w:pos="7728"/>
          <w:tab w:val="left" w:pos="8424"/>
          <w:tab w:val="left" w:pos="9120"/>
        </w:tabs>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b w:val="0"/>
          <w:bCs w:val="0"/>
          <w:sz w:val="28"/>
          <w:szCs w:val="28"/>
        </w:rPr>
      </w:pPr>
    </w:p>
    <w:p>
      <w:pPr>
        <w:keepNext w:val="0"/>
        <w:keepLines w:val="0"/>
        <w:pageBreakBefore w:val="0"/>
        <w:widowControl/>
        <w:suppressLineNumbers w:val="0"/>
        <w:tabs>
          <w:tab w:val="left" w:pos="2932"/>
          <w:tab w:val="left" w:pos="3628"/>
          <w:tab w:val="left" w:pos="4324"/>
          <w:tab w:val="left" w:pos="5020"/>
          <w:tab w:val="left" w:pos="5640"/>
          <w:tab w:val="left" w:pos="6336"/>
          <w:tab w:val="left" w:pos="7032"/>
          <w:tab w:val="left" w:pos="7728"/>
          <w:tab w:val="left" w:pos="8424"/>
          <w:tab w:val="left" w:pos="9120"/>
        </w:tabs>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各课程比例如下：</w:t>
      </w:r>
    </w:p>
    <w:tbl>
      <w:tblPr>
        <w:tblStyle w:val="25"/>
        <w:tblpPr w:leftFromText="180" w:rightFromText="180" w:vertAnchor="text" w:horzAnchor="page" w:tblpX="2215" w:tblpY="30"/>
        <w:tblOverlap w:val="never"/>
        <w:tblW w:w="6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2451"/>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2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公共基础课程</w:t>
            </w:r>
          </w:p>
        </w:tc>
        <w:tc>
          <w:tcPr>
            <w:tcW w:w="24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专业（技能）课程</w:t>
            </w:r>
          </w:p>
        </w:tc>
        <w:tc>
          <w:tcPr>
            <w:tcW w:w="21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实践教学环节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22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36.47</w:t>
            </w:r>
            <w:r>
              <w:rPr>
                <w:rFonts w:hint="eastAsia" w:ascii="仿宋_GB2312" w:hAnsi="仿宋_GB2312" w:eastAsia="仿宋_GB2312" w:cs="仿宋_GB2312"/>
                <w:b w:val="0"/>
                <w:bCs w:val="0"/>
                <w:sz w:val="28"/>
                <w:szCs w:val="28"/>
              </w:rPr>
              <w:t>%</w:t>
            </w:r>
          </w:p>
        </w:tc>
        <w:tc>
          <w:tcPr>
            <w:tcW w:w="24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30.59</w:t>
            </w:r>
            <w:r>
              <w:rPr>
                <w:rFonts w:hint="eastAsia" w:ascii="仿宋_GB2312" w:hAnsi="仿宋_GB2312" w:eastAsia="仿宋_GB2312" w:cs="仿宋_GB2312"/>
                <w:b w:val="0"/>
                <w:bCs w:val="0"/>
                <w:sz w:val="28"/>
                <w:szCs w:val="28"/>
              </w:rPr>
              <w:t>%</w:t>
            </w:r>
          </w:p>
        </w:tc>
        <w:tc>
          <w:tcPr>
            <w:tcW w:w="21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32.9</w:t>
            </w:r>
            <w:r>
              <w:rPr>
                <w:rFonts w:hint="eastAsia" w:ascii="仿宋_GB2312" w:hAnsi="仿宋_GB2312" w:eastAsia="仿宋_GB2312" w:cs="仿宋_GB2312"/>
                <w:b w:val="0"/>
                <w:bCs w:val="0"/>
                <w:sz w:val="28"/>
                <w:szCs w:val="28"/>
              </w:rPr>
              <w:t>%</w:t>
            </w:r>
          </w:p>
        </w:tc>
      </w:tr>
    </w:tbl>
    <w:p>
      <w:pPr>
        <w:spacing w:line="520" w:lineRule="exact"/>
        <w:rPr>
          <w:rFonts w:hint="eastAsia" w:ascii="仿宋_GB2312" w:hAnsi="仿宋_GB2312" w:eastAsia="仿宋_GB2312" w:cs="仿宋_GB2312"/>
          <w:b w:val="0"/>
          <w:bCs w:val="0"/>
          <w:sz w:val="28"/>
          <w:szCs w:val="28"/>
        </w:rPr>
      </w:pPr>
    </w:p>
    <w:p>
      <w:pPr>
        <w:numPr>
          <w:ilvl w:val="0"/>
          <w:numId w:val="0"/>
        </w:numPr>
        <w:spacing w:line="240" w:lineRule="auto"/>
        <w:outlineLvl w:val="9"/>
        <w:rPr>
          <w:rFonts w:hint="eastAsia" w:ascii="仿宋_GB2312" w:hAnsi="仿宋_GB2312" w:eastAsia="仿宋_GB2312" w:cs="仿宋_GB2312"/>
          <w:b w:val="0"/>
          <w:bCs w:val="0"/>
          <w:sz w:val="28"/>
          <w:szCs w:val="28"/>
        </w:rPr>
      </w:pPr>
    </w:p>
    <w:p>
      <w:pPr>
        <w:numPr>
          <w:ilvl w:val="0"/>
          <w:numId w:val="0"/>
        </w:numPr>
        <w:spacing w:line="240" w:lineRule="auto"/>
        <w:outlineLvl w:val="9"/>
        <w:rPr>
          <w:rFonts w:hint="eastAsia" w:ascii="仿宋_GB2312" w:hAnsi="仿宋_GB2312" w:eastAsia="仿宋_GB2312" w:cs="仿宋_GB2312"/>
          <w:b w:val="0"/>
          <w:bCs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bCs/>
          <w:sz w:val="28"/>
          <w:szCs w:val="28"/>
        </w:rPr>
      </w:pPr>
      <w:bookmarkStart w:id="22" w:name="_Toc3292"/>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outlineLvl w:val="0"/>
        <w:rPr>
          <w:rFonts w:hint="eastAsia" w:ascii="仿宋_GB2312" w:hAnsi="仿宋_GB2312" w:eastAsia="仿宋_GB2312" w:cs="仿宋_GB2312"/>
          <w:b/>
          <w:bCs/>
          <w:kern w:val="2"/>
          <w:sz w:val="28"/>
          <w:szCs w:val="28"/>
          <w:lang w:val="en-US" w:eastAsia="zh-CN" w:bidi="ar"/>
        </w:rPr>
      </w:pP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实施保障</w:t>
      </w:r>
      <w:bookmarkEnd w:id="22"/>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lang w:val="en-US" w:eastAsia="zh-CN" w:bidi="ar"/>
        </w:rPr>
        <w:t>主要包括师资队伍、教学设施、教学资源、教学方法、学习评价、质量管理等方面。</w:t>
      </w:r>
      <w:r>
        <w:rPr>
          <w:rFonts w:hint="eastAsia" w:ascii="仿宋_GB2312" w:hAnsi="仿宋_GB2312" w:eastAsia="仿宋_GB2312" w:cs="仿宋_GB2312"/>
          <w:b w:val="0"/>
          <w:bCs w:val="0"/>
          <w:sz w:val="28"/>
          <w:szCs w:val="28"/>
        </w:rPr>
        <w:t xml:space="preserve"> </w:t>
      </w:r>
      <w:bookmarkStart w:id="23" w:name="_Toc9590"/>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（一）师资队伍</w:t>
      </w:r>
      <w:bookmarkEnd w:id="23"/>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1.团队结</w:t>
      </w:r>
      <w:r>
        <w:rPr>
          <w:rFonts w:hint="eastAsia" w:ascii="仿宋_GB2312" w:hAnsi="仿宋_GB2312" w:eastAsia="仿宋_GB2312" w:cs="仿宋_GB2312"/>
          <w:b w:val="0"/>
          <w:bCs w:val="0"/>
          <w:color w:val="auto"/>
          <w:kern w:val="2"/>
          <w:sz w:val="28"/>
          <w:szCs w:val="28"/>
          <w:lang w:val="en-US" w:eastAsia="zh-CN" w:bidi="ar"/>
        </w:rPr>
        <w:t>构科学合理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color w:val="auto"/>
          <w:kern w:val="2"/>
          <w:sz w:val="28"/>
          <w:szCs w:val="28"/>
          <w:lang w:val="en-US" w:eastAsia="zh-CN" w:bidi="ar"/>
        </w:rPr>
      </w:pPr>
      <w:r>
        <w:rPr>
          <w:rFonts w:hint="eastAsia" w:ascii="仿宋_GB2312" w:hAnsi="仿宋_GB2312" w:eastAsia="仿宋_GB2312" w:cs="仿宋_GB2312"/>
          <w:b w:val="0"/>
          <w:bCs w:val="0"/>
          <w:color w:val="auto"/>
          <w:kern w:val="2"/>
          <w:sz w:val="28"/>
          <w:szCs w:val="28"/>
          <w:lang w:val="en-US" w:eastAsia="zh-CN" w:bidi="ar"/>
        </w:rPr>
        <w:t>本专业专任专业教师12人，专任专业教师具有教育类或艺术类专业本科及以上学历；高级职称1人；具有中级及以上相关专业技术职务或职业资格的占 76%及；“双师型”教师占专业教师总数的 66%以上，符合省教育厅办公室公布的《中等职业学校“双师型”教师非教师系列专业技术证书目录（试行）》规定要求。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
        </w:rPr>
      </w:pPr>
      <w:r>
        <w:rPr>
          <w:rFonts w:hint="eastAsia" w:ascii="仿宋_GB2312" w:hAnsi="仿宋_GB2312" w:eastAsia="仿宋_GB2312" w:cs="仿宋_GB2312"/>
          <w:b w:val="0"/>
          <w:bCs w:val="0"/>
          <w:color w:val="auto"/>
          <w:kern w:val="2"/>
          <w:sz w:val="28"/>
          <w:szCs w:val="28"/>
          <w:lang w:val="en-US" w:eastAsia="zh-CN" w:bidi="ar"/>
        </w:rPr>
        <w:t>2.师德师风建设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color w:val="auto"/>
          <w:kern w:val="2"/>
          <w:sz w:val="28"/>
          <w:szCs w:val="28"/>
          <w:lang w:val="en-US" w:eastAsia="zh-CN" w:bidi="ar"/>
        </w:rPr>
        <w:t>专业教师应认真践行教育部颁发的《中等职业学校教师职业道德规范》，全</w:t>
      </w:r>
      <w:r>
        <w:rPr>
          <w:rFonts w:hint="eastAsia" w:ascii="仿宋_GB2312" w:hAnsi="仿宋_GB2312" w:eastAsia="仿宋_GB2312" w:cs="仿宋_GB2312"/>
          <w:b w:val="0"/>
          <w:bCs w:val="0"/>
          <w:kern w:val="2"/>
          <w:sz w:val="28"/>
          <w:szCs w:val="28"/>
          <w:lang w:val="en-US" w:eastAsia="zh-CN" w:bidi="ar"/>
        </w:rPr>
        <w:t>面贯彻党的教育方针，推动全员全过程全方位“三全育人”。团队教师注重坚守专业精神、职业精神和工匠精神，践行社会主义核心价值观，以德立身、以德立学、以德立教。能适应现代职业教育教学要求（如理实一体化教学、信息化教学等），积极参加教研、教学改革、教学和技能竞赛等活动，完成教师业务培训和专业实践任务，终身学习，勇于创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outlineLvl w:val="2"/>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3.专任、兼职教师要求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教师队伍包括专任教师和兼职教师。</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（1）专任教师都具有中等学校教师资格证书。专任教师承担专业必修课程的教学任务，且所承担的教学工作量占到总量的2/3左右。</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2）聘请具有现代保育理念，在保教实践中积累了丰富的经验且有一定专长，具有较强的教育教学能力和实践指导能力，具有中级及以上技术职称的一线保教工作者担任兼职教师。兼职教师承担的教学任务保持在1/3之内，主要承担实践课程及相关教学任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outlineLvl w:val="2"/>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4.教师进修培训要求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（1）专任教师每年必须有一个月企业实践或社会实践的经历；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kern w:val="2"/>
          <w:sz w:val="28"/>
          <w:szCs w:val="28"/>
          <w:lang w:val="en-US" w:eastAsia="zh-CN" w:bidi="ar"/>
        </w:rPr>
      </w:pPr>
      <w:r>
        <w:rPr>
          <w:rFonts w:hint="eastAsia" w:ascii="仿宋_GB2312" w:hAnsi="仿宋_GB2312" w:eastAsia="仿宋_GB2312" w:cs="仿宋_GB2312"/>
          <w:b w:val="0"/>
          <w:bCs w:val="0"/>
          <w:kern w:val="2"/>
          <w:sz w:val="28"/>
          <w:szCs w:val="28"/>
          <w:lang w:val="en-US" w:eastAsia="zh-CN" w:bidi="ar"/>
        </w:rPr>
        <w:t>（2）专业课专任教师每五年必须参加一次国家级或省级培训，公共课教师应参加教育教学或新技术的培训。</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24" w:name="_Toc15190"/>
      <w:r>
        <w:rPr>
          <w:rFonts w:hint="eastAsia" w:ascii="仿宋_GB2312" w:hAnsi="仿宋_GB2312" w:eastAsia="仿宋_GB2312" w:cs="仿宋_GB2312"/>
          <w:b w:val="0"/>
          <w:bCs w:val="0"/>
          <w:sz w:val="28"/>
          <w:szCs w:val="28"/>
        </w:rPr>
        <w:t>（二）教学设施</w:t>
      </w:r>
      <w:bookmarkEnd w:id="24"/>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校内</w:t>
      </w:r>
      <w:r>
        <w:rPr>
          <w:rFonts w:hint="eastAsia" w:ascii="仿宋_GB2312" w:hAnsi="仿宋_GB2312" w:eastAsia="仿宋_GB2312" w:cs="仿宋_GB2312"/>
          <w:b w:val="0"/>
          <w:bCs w:val="0"/>
          <w:sz w:val="28"/>
          <w:szCs w:val="28"/>
          <w:lang w:val="en-US" w:eastAsia="zh-CN"/>
        </w:rPr>
        <w:t>实训</w:t>
      </w:r>
      <w:r>
        <w:rPr>
          <w:rFonts w:hint="eastAsia" w:ascii="仿宋_GB2312" w:hAnsi="仿宋_GB2312" w:eastAsia="仿宋_GB2312" w:cs="仿宋_GB2312"/>
          <w:b w:val="0"/>
          <w:bCs w:val="0"/>
          <w:sz w:val="28"/>
          <w:szCs w:val="28"/>
        </w:rPr>
        <w:t xml:space="preserve">教学条件要求 </w:t>
      </w:r>
    </w:p>
    <w:tbl>
      <w:tblPr>
        <w:tblStyle w:val="25"/>
        <w:tblW w:w="862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487"/>
        <w:gridCol w:w="1848"/>
        <w:gridCol w:w="1581"/>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7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序号</w:t>
            </w:r>
          </w:p>
        </w:tc>
        <w:tc>
          <w:tcPr>
            <w:tcW w:w="2487" w:type="dxa"/>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实训室名称</w:t>
            </w:r>
          </w:p>
        </w:tc>
        <w:tc>
          <w:tcPr>
            <w:tcW w:w="1848" w:type="dxa"/>
            <w:tcBorders>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实训室面积</w:t>
            </w:r>
          </w:p>
        </w:tc>
        <w:tc>
          <w:tcPr>
            <w:tcW w:w="15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实训室工位数</w:t>
            </w:r>
          </w:p>
        </w:tc>
        <w:tc>
          <w:tcPr>
            <w:tcW w:w="194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实训总值</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62"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1</w:t>
            </w:r>
          </w:p>
        </w:tc>
        <w:tc>
          <w:tcPr>
            <w:tcW w:w="2487"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茶艺表演室</w:t>
            </w:r>
          </w:p>
        </w:tc>
        <w:tc>
          <w:tcPr>
            <w:tcW w:w="1848"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96</w:t>
            </w:r>
          </w:p>
        </w:tc>
        <w:tc>
          <w:tcPr>
            <w:tcW w:w="1581"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48</w:t>
            </w:r>
          </w:p>
        </w:tc>
        <w:tc>
          <w:tcPr>
            <w:tcW w:w="1944" w:type="dxa"/>
            <w:vMerge w:val="restart"/>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383.5005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62"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2</w:t>
            </w:r>
          </w:p>
        </w:tc>
        <w:tc>
          <w:tcPr>
            <w:tcW w:w="2487"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中西餐摆台实训室</w:t>
            </w:r>
          </w:p>
        </w:tc>
        <w:tc>
          <w:tcPr>
            <w:tcW w:w="1848"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96</w:t>
            </w:r>
          </w:p>
        </w:tc>
        <w:tc>
          <w:tcPr>
            <w:tcW w:w="1581"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48</w:t>
            </w:r>
          </w:p>
        </w:tc>
        <w:tc>
          <w:tcPr>
            <w:tcW w:w="1944"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62"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3</w:t>
            </w:r>
          </w:p>
        </w:tc>
        <w:tc>
          <w:tcPr>
            <w:tcW w:w="2487"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3D旅游实训室</w:t>
            </w:r>
          </w:p>
        </w:tc>
        <w:tc>
          <w:tcPr>
            <w:tcW w:w="1848"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500</w:t>
            </w:r>
          </w:p>
        </w:tc>
        <w:tc>
          <w:tcPr>
            <w:tcW w:w="1581" w:type="dxa"/>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rPr>
              <w:t>200</w:t>
            </w:r>
          </w:p>
        </w:tc>
        <w:tc>
          <w:tcPr>
            <w:tcW w:w="1944" w:type="dxa"/>
            <w:vMerge w:val="continue"/>
            <w:tcBorders>
              <w:tl2br w:val="nil"/>
              <w:tr2bl w:val="nil"/>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仿宋_GB2312" w:hAnsi="仿宋_GB2312" w:eastAsia="仿宋_GB2312" w:cs="仿宋_GB2312"/>
                <w:b w:val="0"/>
                <w:bCs w:val="0"/>
                <w:color w:val="000000"/>
                <w:kern w:val="2"/>
                <w:sz w:val="28"/>
                <w:szCs w:val="28"/>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25" w:name="_Toc16799"/>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三</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教学资源</w:t>
      </w:r>
      <w:bookmarkEnd w:id="25"/>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560" w:firstLineChars="200"/>
        <w:textAlignment w:val="auto"/>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1.教材选用 </w:t>
      </w:r>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根据课程标准的要求，严格审核并选用教材，优先选用国家规划教材、团队教师主编教材、自编讲义等。立足于“三教”改革的核心，积极鼓励团队教师按照本专业的人才培养目标</w:t>
      </w:r>
      <w:r>
        <w:rPr>
          <w:rFonts w:hint="eastAsia" w:ascii="仿宋_GB2312" w:hAnsi="仿宋_GB2312" w:eastAsia="仿宋_GB2312" w:cs="仿宋_GB2312"/>
          <w:b w:val="0"/>
          <w:bCs w:val="0"/>
          <w:sz w:val="28"/>
          <w:szCs w:val="28"/>
          <w:lang w:val="en-US" w:eastAsia="zh-CN"/>
        </w:rPr>
        <w:t>重构教学内容，</w:t>
      </w:r>
      <w:r>
        <w:rPr>
          <w:rFonts w:hint="eastAsia" w:ascii="仿宋_GB2312" w:hAnsi="仿宋_GB2312" w:eastAsia="仿宋_GB2312" w:cs="仿宋_GB2312"/>
          <w:b w:val="0"/>
          <w:bCs w:val="0"/>
          <w:sz w:val="28"/>
          <w:szCs w:val="28"/>
        </w:rPr>
        <w:t>编写</w:t>
      </w:r>
      <w:r>
        <w:rPr>
          <w:rFonts w:hint="eastAsia" w:ascii="仿宋_GB2312" w:hAnsi="仿宋_GB2312" w:eastAsia="仿宋_GB2312" w:cs="仿宋_GB2312"/>
          <w:b w:val="0"/>
          <w:bCs w:val="0"/>
          <w:sz w:val="28"/>
          <w:szCs w:val="28"/>
          <w:lang w:val="en-US" w:eastAsia="zh-CN"/>
        </w:rPr>
        <w:t>活页教材</w:t>
      </w:r>
      <w:r>
        <w:rPr>
          <w:rFonts w:hint="eastAsia" w:ascii="仿宋_GB2312" w:hAnsi="仿宋_GB2312" w:eastAsia="仿宋_GB2312" w:cs="仿宋_GB2312"/>
          <w:b w:val="0"/>
          <w:bCs w:val="0"/>
          <w:sz w:val="28"/>
          <w:szCs w:val="28"/>
        </w:rPr>
        <w:t>和实训指导书</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以提高教学的针对性、职业性、实用性</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560" w:firstLineChars="200"/>
        <w:textAlignment w:val="auto"/>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2.专业教学资源 </w:t>
      </w:r>
    </w:p>
    <w:p>
      <w:pPr>
        <w:keepNext w:val="0"/>
        <w:keepLines w:val="0"/>
        <w:pageBreakBefore w:val="0"/>
        <w:widowControl w:val="0"/>
        <w:kinsoku/>
        <w:wordWrap/>
        <w:overflowPunct/>
        <w:topLinePunct w:val="0"/>
        <w:autoSpaceDE/>
        <w:autoSpaceDN/>
        <w:bidi w:val="0"/>
        <w:adjustRightInd/>
        <w:spacing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信息化教学资源建设；</w:t>
      </w:r>
    </w:p>
    <w:p>
      <w:pPr>
        <w:keepNext w:val="0"/>
        <w:keepLines w:val="0"/>
        <w:pageBreakBefore w:val="0"/>
        <w:widowControl w:val="0"/>
        <w:kinsoku/>
        <w:wordWrap/>
        <w:overflowPunct/>
        <w:topLinePunct w:val="0"/>
        <w:autoSpaceDE/>
        <w:autoSpaceDN/>
        <w:bidi w:val="0"/>
        <w:adjustRightInd/>
        <w:spacing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数字化体验式系统：神州视景CECE2009数字化体验式教学系统软件V5.0。</w:t>
      </w:r>
    </w:p>
    <w:p>
      <w:pPr>
        <w:keepNext w:val="0"/>
        <w:keepLines w:val="0"/>
        <w:pageBreakBefore w:val="0"/>
        <w:widowControl w:val="0"/>
        <w:kinsoku/>
        <w:wordWrap/>
        <w:overflowPunct/>
        <w:topLinePunct w:val="0"/>
        <w:autoSpaceDE/>
        <w:autoSpaceDN/>
        <w:bidi w:val="0"/>
        <w:adjustRightInd/>
        <w:spacing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景区三维虚拟仿真教学场景库：神州视景三维虚拟仿真场景教学资源库V5.0。</w:t>
      </w:r>
    </w:p>
    <w:p>
      <w:pPr>
        <w:keepNext w:val="0"/>
        <w:keepLines w:val="0"/>
        <w:pageBreakBefore w:val="0"/>
        <w:widowControl w:val="0"/>
        <w:kinsoku/>
        <w:wordWrap/>
        <w:overflowPunct/>
        <w:topLinePunct w:val="0"/>
        <w:autoSpaceDE/>
        <w:autoSpaceDN/>
        <w:bidi w:val="0"/>
        <w:adjustRightInd/>
        <w:spacing w:line="3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在多媒体教学环境下，学生可以主动参与教学过程，突出学生的主体性，从根本上改变了传统教学中教师的中心地位，使学生从被动听讲的接受者转变为主动参与的学习主体，而传递信息的媒体从原来的演示工具转变为学生的认知工具，教师则从繁重的教学活动中解脱出来，可以用更多的精力和时间去为学生准备知识、辅导学习，真正落实了因材施教的教学原则。</w:t>
      </w:r>
    </w:p>
    <w:p>
      <w:pPr>
        <w:keepNext w:val="0"/>
        <w:keepLines w:val="0"/>
        <w:pageBreakBefore w:val="0"/>
        <w:widowControl w:val="0"/>
        <w:kinsoku/>
        <w:wordWrap/>
        <w:overflowPunct/>
        <w:topLinePunct w:val="0"/>
        <w:autoSpaceDE/>
        <w:autoSpaceDN/>
        <w:bidi w:val="0"/>
        <w:adjustRightInd/>
        <w:spacing w:line="360" w:lineRule="exact"/>
        <w:ind w:firstLine="560" w:firstLineChars="200"/>
        <w:jc w:val="left"/>
        <w:textAlignment w:val="auto"/>
        <w:rPr>
          <w:rFonts w:hint="eastAsia" w:ascii="仿宋_GB2312" w:hAnsi="仿宋_GB2312" w:eastAsia="仿宋_GB2312" w:cs="仿宋_GB2312"/>
          <w:b w:val="0"/>
          <w:bCs w:val="0"/>
          <w:color w:val="FF0000"/>
          <w:sz w:val="28"/>
          <w:szCs w:val="28"/>
        </w:rPr>
      </w:pPr>
      <w:r>
        <w:rPr>
          <w:rFonts w:hint="eastAsia" w:ascii="仿宋_GB2312" w:hAnsi="仿宋_GB2312" w:eastAsia="仿宋_GB2312" w:cs="仿宋_GB2312"/>
          <w:b w:val="0"/>
          <w:bCs w:val="0"/>
          <w:sz w:val="28"/>
          <w:szCs w:val="28"/>
        </w:rPr>
        <w:t>教学平台的使用使交互式学习成为可能，信息的教学资源为学生创设了一种相互交流、信息共享、合作学习的环境，从而加强了师生间的交流，对提高教学质量和学习效果产生了积极的作用；图文并茂、声形兼备的网络环境对于教育个性化的形成，对于学生创造性思维的培养，对于促进教育从应试教育向素质教育的转变将产生深远影响。</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26" w:name="_Toc25144"/>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四</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教学方法</w:t>
      </w:r>
      <w:bookmarkEnd w:id="26"/>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以“职业需求、</w:t>
      </w:r>
      <w:r>
        <w:rPr>
          <w:rFonts w:hint="eastAsia" w:ascii="仿宋_GB2312" w:hAnsi="仿宋_GB2312" w:eastAsia="仿宋_GB2312" w:cs="仿宋_GB2312"/>
          <w:b w:val="0"/>
          <w:bCs w:val="0"/>
          <w:sz w:val="28"/>
          <w:szCs w:val="28"/>
          <w:lang w:val="en-US" w:eastAsia="zh-CN"/>
        </w:rPr>
        <w:t>行动</w:t>
      </w:r>
      <w:r>
        <w:rPr>
          <w:rFonts w:hint="eastAsia" w:ascii="仿宋_GB2312" w:hAnsi="仿宋_GB2312" w:eastAsia="仿宋_GB2312" w:cs="仿宋_GB2312"/>
          <w:b w:val="0"/>
          <w:bCs w:val="0"/>
          <w:sz w:val="28"/>
          <w:szCs w:val="28"/>
        </w:rPr>
        <w:t>导向、研究先行、个性教学”为思路，深化产教融合。</w:t>
      </w:r>
      <w:r>
        <w:rPr>
          <w:rFonts w:hint="eastAsia" w:ascii="仿宋_GB2312" w:hAnsi="仿宋_GB2312" w:eastAsia="仿宋_GB2312" w:cs="仿宋_GB2312"/>
          <w:b w:val="0"/>
          <w:bCs w:val="0"/>
          <w:sz w:val="28"/>
          <w:szCs w:val="28"/>
          <w:lang w:val="en-US" w:eastAsia="zh-CN"/>
        </w:rPr>
        <w:t>以行动为导向，以岗位任务为驱动，立足学生主体，采用任务驱动法、合作探究、 情景教学等教学方法进行实训。采用超星、雨课堂、音乐实训平台、腾讯课堂等实训平台进行线上线下混合一体化模式教学。结合幼儿园课堂及一日活动流程，构建协作与会话，充分发挥学生学习的积极性和主动性，实现“做中学、学中做、边做边学、边学边做”。</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此外，营造竞赛文化以赛促学、以赛促练，通过校级、市级、省级职业院校（中职组）技能竞赛，以及各类专项技能比赛中提升学生技能，提高学生竞争意识，激发学生学习兴趣，营造良好的学习氛围，形成学习的主动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27" w:name="_Toc1150"/>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五</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学习评价</w:t>
      </w:r>
      <w:bookmarkEnd w:id="27"/>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1.健全综合评价</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构建了基于大数据技术的中职学生成长记录信息化平台系统</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建立一生一案</w:t>
      </w:r>
      <w:r>
        <w:rPr>
          <w:rFonts w:hint="eastAsia" w:ascii="仿宋_GB2312" w:hAnsi="仿宋_GB2312" w:eastAsia="仿宋_GB2312" w:cs="仿宋_GB2312"/>
          <w:b w:val="0"/>
          <w:bCs w:val="0"/>
          <w:sz w:val="28"/>
          <w:szCs w:val="28"/>
        </w:rPr>
        <w:t>，从</w:t>
      </w:r>
      <w:r>
        <w:rPr>
          <w:rFonts w:hint="eastAsia" w:ascii="仿宋_GB2312" w:hAnsi="仿宋_GB2312" w:eastAsia="仿宋_GB2312" w:cs="仿宋_GB2312"/>
          <w:b w:val="0"/>
          <w:bCs w:val="0"/>
          <w:sz w:val="28"/>
          <w:szCs w:val="28"/>
          <w:lang w:val="en-US" w:eastAsia="zh-CN"/>
        </w:rPr>
        <w:t>知识、技能、品德、才艺、健康五</w:t>
      </w:r>
      <w:r>
        <w:rPr>
          <w:rFonts w:hint="eastAsia" w:ascii="仿宋_GB2312" w:hAnsi="仿宋_GB2312" w:eastAsia="仿宋_GB2312" w:cs="仿宋_GB2312"/>
          <w:b w:val="0"/>
          <w:bCs w:val="0"/>
          <w:sz w:val="28"/>
          <w:szCs w:val="28"/>
        </w:rPr>
        <w:t>个维度；收集</w:t>
      </w:r>
      <w:r>
        <w:rPr>
          <w:rFonts w:hint="eastAsia" w:ascii="仿宋_GB2312" w:hAnsi="仿宋_GB2312" w:eastAsia="仿宋_GB2312" w:cs="仿宋_GB2312"/>
          <w:b w:val="0"/>
          <w:bCs w:val="0"/>
          <w:sz w:val="28"/>
          <w:szCs w:val="28"/>
          <w:lang w:val="en-US" w:eastAsia="zh-CN"/>
        </w:rPr>
        <w:t>学生</w:t>
      </w:r>
      <w:r>
        <w:rPr>
          <w:rFonts w:hint="eastAsia" w:ascii="仿宋_GB2312" w:hAnsi="仿宋_GB2312" w:eastAsia="仿宋_GB2312" w:cs="仿宋_GB2312"/>
          <w:b w:val="0"/>
          <w:bCs w:val="0"/>
          <w:sz w:val="28"/>
          <w:szCs w:val="28"/>
        </w:rPr>
        <w:t>的基本信息、学科成绩、绩效信息、学习偏好、知识结构、行为记录</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校外</w:t>
      </w:r>
      <w:r>
        <w:rPr>
          <w:rFonts w:hint="eastAsia" w:ascii="仿宋_GB2312" w:hAnsi="仿宋_GB2312" w:eastAsia="仿宋_GB2312" w:cs="仿宋_GB2312"/>
          <w:b w:val="0"/>
          <w:bCs w:val="0"/>
          <w:sz w:val="28"/>
          <w:szCs w:val="28"/>
          <w:lang w:val="en-US" w:eastAsia="zh-CN"/>
        </w:rPr>
        <w:t>实践</w:t>
      </w:r>
      <w:r>
        <w:rPr>
          <w:rFonts w:hint="eastAsia" w:ascii="仿宋_GB2312" w:hAnsi="仿宋_GB2312" w:eastAsia="仿宋_GB2312" w:cs="仿宋_GB2312"/>
          <w:b w:val="0"/>
          <w:bCs w:val="0"/>
          <w:sz w:val="28"/>
          <w:szCs w:val="28"/>
        </w:rPr>
        <w:t>、艺术</w:t>
      </w:r>
      <w:r>
        <w:rPr>
          <w:rFonts w:hint="eastAsia" w:ascii="仿宋_GB2312" w:hAnsi="仿宋_GB2312" w:eastAsia="仿宋_GB2312" w:cs="仿宋_GB2312"/>
          <w:b w:val="0"/>
          <w:bCs w:val="0"/>
          <w:sz w:val="28"/>
          <w:szCs w:val="28"/>
          <w:lang w:val="en-US" w:eastAsia="zh-CN"/>
        </w:rPr>
        <w:t>活动</w:t>
      </w:r>
      <w:r>
        <w:rPr>
          <w:rFonts w:hint="eastAsia" w:ascii="仿宋_GB2312" w:hAnsi="仿宋_GB2312" w:eastAsia="仿宋_GB2312" w:cs="仿宋_GB2312"/>
          <w:b w:val="0"/>
          <w:bCs w:val="0"/>
          <w:sz w:val="28"/>
          <w:szCs w:val="28"/>
        </w:rPr>
        <w:t>、奖励处罚等</w:t>
      </w:r>
      <w:r>
        <w:rPr>
          <w:rFonts w:hint="eastAsia" w:ascii="仿宋_GB2312" w:hAnsi="仿宋_GB2312" w:eastAsia="仿宋_GB2312" w:cs="仿宋_GB2312"/>
          <w:b w:val="0"/>
          <w:bCs w:val="0"/>
          <w:sz w:val="28"/>
          <w:szCs w:val="28"/>
          <w:lang w:val="en-US" w:eastAsia="zh-CN"/>
        </w:rPr>
        <w:t>信息，完善</w:t>
      </w:r>
      <w:r>
        <w:rPr>
          <w:rFonts w:hint="eastAsia" w:ascii="仿宋_GB2312" w:hAnsi="仿宋_GB2312" w:eastAsia="仿宋_GB2312" w:cs="仿宋_GB2312"/>
          <w:b w:val="0"/>
          <w:bCs w:val="0"/>
          <w:sz w:val="28"/>
          <w:szCs w:val="28"/>
        </w:rPr>
        <w:t>学生综合</w:t>
      </w:r>
      <w:r>
        <w:rPr>
          <w:rFonts w:hint="eastAsia" w:ascii="仿宋_GB2312" w:hAnsi="仿宋_GB2312" w:eastAsia="仿宋_GB2312" w:cs="仿宋_GB2312"/>
          <w:b w:val="0"/>
          <w:bCs w:val="0"/>
          <w:sz w:val="28"/>
          <w:szCs w:val="28"/>
          <w:lang w:val="en-US" w:eastAsia="zh-CN"/>
        </w:rPr>
        <w:t>评价</w:t>
      </w:r>
      <w:r>
        <w:rPr>
          <w:rFonts w:hint="eastAsia" w:ascii="仿宋_GB2312" w:hAnsi="仿宋_GB2312" w:eastAsia="仿宋_GB2312" w:cs="仿宋_GB2312"/>
          <w:b w:val="0"/>
          <w:bCs w:val="0"/>
          <w:sz w:val="28"/>
          <w:szCs w:val="28"/>
        </w:rPr>
        <w:t>。</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2.坚持结果评价</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利用经过转化过的数据，对数据进行分析处理，得出结果并输出测评报告</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具备过程性评价和终结性评价，包括学生的知识、心理、行为、能力、特长和潜质等多方面的报告单，并将多方面的报告单综合，最终形成“学生综合</w:t>
      </w:r>
      <w:r>
        <w:rPr>
          <w:rFonts w:hint="eastAsia" w:ascii="仿宋_GB2312" w:hAnsi="仿宋_GB2312" w:eastAsia="仿宋_GB2312" w:cs="仿宋_GB2312"/>
          <w:b w:val="0"/>
          <w:bCs w:val="0"/>
          <w:sz w:val="28"/>
          <w:szCs w:val="28"/>
          <w:lang w:val="en-US" w:eastAsia="zh-CN"/>
        </w:rPr>
        <w:t>素质</w:t>
      </w:r>
      <w:r>
        <w:rPr>
          <w:rFonts w:hint="eastAsia" w:ascii="仿宋_GB2312" w:hAnsi="仿宋_GB2312" w:eastAsia="仿宋_GB2312" w:cs="仿宋_GB2312"/>
          <w:b w:val="0"/>
          <w:bCs w:val="0"/>
          <w:sz w:val="28"/>
          <w:szCs w:val="28"/>
        </w:rPr>
        <w:t>评价报告”。</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改善过程评价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以</w:t>
      </w:r>
      <w:r>
        <w:rPr>
          <w:rFonts w:hint="eastAsia" w:ascii="仿宋_GB2312" w:hAnsi="仿宋_GB2312" w:eastAsia="仿宋_GB2312" w:cs="仿宋_GB2312"/>
          <w:b w:val="0"/>
          <w:bCs w:val="0"/>
          <w:sz w:val="28"/>
          <w:szCs w:val="28"/>
          <w:lang w:val="en-US" w:eastAsia="zh-CN"/>
        </w:rPr>
        <w:t>学生自评</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学</w:t>
      </w:r>
      <w:r>
        <w:rPr>
          <w:rFonts w:hint="eastAsia" w:ascii="仿宋_GB2312" w:hAnsi="仿宋_GB2312" w:eastAsia="仿宋_GB2312" w:cs="仿宋_GB2312"/>
          <w:b w:val="0"/>
          <w:bCs w:val="0"/>
          <w:sz w:val="28"/>
          <w:szCs w:val="28"/>
        </w:rPr>
        <w:t>生互评、</w:t>
      </w:r>
      <w:r>
        <w:rPr>
          <w:rFonts w:hint="eastAsia" w:ascii="仿宋_GB2312" w:hAnsi="仿宋_GB2312" w:eastAsia="仿宋_GB2312" w:cs="仿宋_GB2312"/>
          <w:b w:val="0"/>
          <w:bCs w:val="0"/>
          <w:sz w:val="28"/>
          <w:szCs w:val="28"/>
          <w:lang w:val="en-US" w:eastAsia="zh-CN"/>
        </w:rPr>
        <w:t>教师评价、</w:t>
      </w:r>
      <w:r>
        <w:rPr>
          <w:rFonts w:hint="eastAsia" w:ascii="仿宋_GB2312" w:hAnsi="仿宋_GB2312" w:eastAsia="仿宋_GB2312" w:cs="仿宋_GB2312"/>
          <w:b w:val="0"/>
          <w:bCs w:val="0"/>
          <w:sz w:val="28"/>
          <w:szCs w:val="28"/>
        </w:rPr>
        <w:t>企业评价相结合的方式对学生的学习行为、学习能力、学习态度和合作精神等进行评价，充分体现以学生发展为本，以职业能力的形成为核心的教育评价理念。</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学生自评：进入学生成长记录个人空间，亲自记录学习者的基本信息、兴趣特征、学习偏好、知识结构、学习心得等等。记录自己在中职阶段成长发展的足迹，进行自我反思和评价，充分发挥了中职学生的“主体”作用。</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学生互评：通过主题讨论、交流、问答互动、作品互评等，实现学生与同学之间的分享交流，帮助他们更好地了解自我、分析自我、规划自我、激励自我。</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教师评价：将日常的学生学科成绩作为形成性评价记录下来。包括随堂练习、同步作业等练习性测评和期中测试、期末测试、模拟测试等课程考试成绩。</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企业评价：在校企合作、工学结合、顶岗实习等社会实践活动中，</w:t>
      </w:r>
      <w:r>
        <w:rPr>
          <w:rFonts w:hint="eastAsia" w:ascii="仿宋_GB2312" w:hAnsi="仿宋_GB2312" w:eastAsia="仿宋_GB2312" w:cs="仿宋_GB2312"/>
          <w:b w:val="0"/>
          <w:bCs w:val="0"/>
          <w:sz w:val="28"/>
          <w:szCs w:val="28"/>
          <w:lang w:val="en-US" w:eastAsia="zh-CN"/>
        </w:rPr>
        <w:t>企业导师在完</w:t>
      </w:r>
      <w:r>
        <w:rPr>
          <w:rFonts w:hint="eastAsia" w:ascii="仿宋_GB2312" w:hAnsi="仿宋_GB2312" w:eastAsia="仿宋_GB2312" w:cs="仿宋_GB2312"/>
          <w:b w:val="0"/>
          <w:bCs w:val="0"/>
          <w:sz w:val="28"/>
          <w:szCs w:val="28"/>
        </w:rPr>
        <w:t>成项目后对学生完成任务中涉及的各项工作内容的评价。</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4.落实增值评价</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构建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一生一档</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成长记录袋，</w:t>
      </w:r>
      <w:r>
        <w:rPr>
          <w:rFonts w:hint="eastAsia" w:ascii="仿宋_GB2312" w:hAnsi="仿宋_GB2312" w:eastAsia="仿宋_GB2312" w:cs="仿宋_GB2312"/>
          <w:b w:val="0"/>
          <w:bCs w:val="0"/>
          <w:sz w:val="28"/>
          <w:szCs w:val="28"/>
        </w:rPr>
        <w:t>通过</w:t>
      </w:r>
      <w:r>
        <w:rPr>
          <w:rFonts w:hint="eastAsia" w:ascii="仿宋_GB2312" w:hAnsi="仿宋_GB2312" w:eastAsia="仿宋_GB2312" w:cs="仿宋_GB2312"/>
          <w:b w:val="0"/>
          <w:bCs w:val="0"/>
          <w:sz w:val="28"/>
          <w:szCs w:val="28"/>
          <w:lang w:val="en-US" w:eastAsia="zh-CN"/>
        </w:rPr>
        <w:t>数据比对，探索增值评价，关注学生个体进步与成长。</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rPr>
      </w:pPr>
      <w:bookmarkStart w:id="28" w:name="_Toc30248"/>
      <w:r>
        <w:rPr>
          <w:rFonts w:hint="eastAsia" w:ascii="仿宋_GB2312" w:hAnsi="仿宋_GB2312" w:eastAsia="仿宋_GB2312" w:cs="仿宋_GB2312"/>
          <w:b w:val="0"/>
          <w:bCs w:val="0"/>
          <w:sz w:val="28"/>
          <w:szCs w:val="28"/>
        </w:rPr>
        <w:t>（六）质量管理</w:t>
      </w:r>
      <w:bookmarkEnd w:id="28"/>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组织机构</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成立由企业专家、教育专家和骨干教师组成的专业建设委员会，指导专业建设；成立教学管理团队，对教学质量进行全面监控和评估。</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课堂教学质量监控</w:t>
      </w:r>
    </w:p>
    <w:p>
      <w:pPr>
        <w:keepNext w:val="0"/>
        <w:keepLines w:val="0"/>
        <w:pageBreakBefore w:val="0"/>
        <w:widowControl w:val="0"/>
        <w:kinsoku/>
        <w:wordWrap/>
        <w:overflowPunct/>
        <w:topLinePunct w:val="0"/>
        <w:autoSpaceDE/>
        <w:autoSpaceDN/>
        <w:bidi w:val="0"/>
        <w:adjustRightInd/>
        <w:snapToGrid w:val="0"/>
        <w:spacing w:line="3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（1）课堂教学教师工作状态评分细则（权重40%）</w:t>
      </w:r>
    </w:p>
    <w:p>
      <w:pPr>
        <w:spacing w:line="240" w:lineRule="auto"/>
        <w:ind w:firstLine="560" w:firstLineChars="20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课堂教学教师工作状态评价表</w:t>
      </w:r>
    </w:p>
    <w:tbl>
      <w:tblPr>
        <w:tblStyle w:val="25"/>
        <w:tblW w:w="10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887"/>
        <w:gridCol w:w="2874"/>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1293"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w:t>
            </w:r>
          </w:p>
        </w:tc>
        <w:tc>
          <w:tcPr>
            <w:tcW w:w="8851" w:type="dxa"/>
            <w:gridSpan w:val="3"/>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评估标准与等级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1293" w:type="dxa"/>
            <w:vMerge w:val="continue"/>
            <w:vAlign w:val="center"/>
          </w:tcPr>
          <w:p>
            <w:pPr>
              <w:keepNext w:val="0"/>
              <w:keepLines w:val="0"/>
              <w:suppressLineNumbers w:val="0"/>
              <w:spacing w:before="0" w:beforeAutospacing="0" w:after="0" w:afterAutospacing="0" w:line="240" w:lineRule="auto"/>
              <w:ind w:left="0" w:right="0" w:firstLine="560" w:firstLineChars="200"/>
              <w:jc w:val="center"/>
              <w:rPr>
                <w:rFonts w:hint="eastAsia" w:ascii="仿宋_GB2312" w:hAnsi="仿宋_GB2312" w:eastAsia="仿宋_GB2312" w:cs="仿宋_GB2312"/>
                <w:b w:val="0"/>
                <w:bCs w:val="0"/>
                <w:sz w:val="28"/>
                <w:szCs w:val="28"/>
              </w:rPr>
            </w:pPr>
          </w:p>
        </w:tc>
        <w:tc>
          <w:tcPr>
            <w:tcW w:w="2887"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A级</w:t>
            </w:r>
          </w:p>
        </w:tc>
        <w:tc>
          <w:tcPr>
            <w:tcW w:w="28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B级</w:t>
            </w:r>
          </w:p>
        </w:tc>
        <w:tc>
          <w:tcPr>
            <w:tcW w:w="309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仪表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288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服装整齐，着正装。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（16-20分）</w:t>
            </w:r>
          </w:p>
        </w:tc>
        <w:tc>
          <w:tcPr>
            <w:tcW w:w="28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未着正装，但服装整齐、得体。（12-16分）</w:t>
            </w:r>
          </w:p>
        </w:tc>
        <w:tc>
          <w:tcPr>
            <w:tcW w:w="309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服装不整齐。（&lt;12分）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精神状态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288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精神集中，情绪饱满。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（16-20分） </w:t>
            </w:r>
          </w:p>
        </w:tc>
        <w:tc>
          <w:tcPr>
            <w:tcW w:w="28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神情不自然，比较紧张。（12-16分）</w:t>
            </w:r>
          </w:p>
        </w:tc>
        <w:tc>
          <w:tcPr>
            <w:tcW w:w="309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无精打采，心不在焉。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4" w:hRule="atLeast"/>
          <w:jc w:val="center"/>
        </w:trPr>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形体姿态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288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始终保持良好站姿，没有多余的小动作，并能通过得体的肢体语言调动学生。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（16-20分）</w:t>
            </w:r>
          </w:p>
        </w:tc>
        <w:tc>
          <w:tcPr>
            <w:tcW w:w="28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保持良好姿态，没有太多的小动作。（12-16分）</w:t>
            </w:r>
          </w:p>
        </w:tc>
        <w:tc>
          <w:tcPr>
            <w:tcW w:w="309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姿态不端正、不得体，有很多不良小动作。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jc w:val="center"/>
        </w:trPr>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语言表达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288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吐字清晰，语速、音量适中并起伏变化，富有感染力。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（16-20分）</w:t>
            </w:r>
          </w:p>
        </w:tc>
        <w:tc>
          <w:tcPr>
            <w:tcW w:w="28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吐字清晰，音量适中。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（12-16分）</w:t>
            </w:r>
          </w:p>
        </w:tc>
        <w:tc>
          <w:tcPr>
            <w:tcW w:w="309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语音含糊、音量过高或过低，语速快或慢，学员听不清。（&lt;12分）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0" w:hRule="atLeast"/>
          <w:jc w:val="center"/>
        </w:trPr>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教学过程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288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教学方法运用得当，师生互动好。（16-20分）</w:t>
            </w:r>
          </w:p>
        </w:tc>
        <w:tc>
          <w:tcPr>
            <w:tcW w:w="287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教学方法恰当，师生互动较好。（12-16分）</w:t>
            </w:r>
          </w:p>
        </w:tc>
        <w:tc>
          <w:tcPr>
            <w:tcW w:w="309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教学方法运用欠合理，师生互动少（&lt;12分）</w:t>
            </w:r>
          </w:p>
        </w:tc>
      </w:tr>
    </w:tbl>
    <w:p>
      <w:pPr>
        <w:numPr>
          <w:ilvl w:val="0"/>
          <w:numId w:val="0"/>
        </w:numPr>
        <w:spacing w:line="520" w:lineRule="exac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教师课堂教学评分细则（权重60%）</w:t>
      </w:r>
    </w:p>
    <w:p>
      <w:pPr>
        <w:numPr>
          <w:ilvl w:val="0"/>
          <w:numId w:val="0"/>
        </w:numPr>
        <w:spacing w:line="52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教师课堂教学评价表</w:t>
      </w:r>
    </w:p>
    <w:tbl>
      <w:tblPr>
        <w:tblStyle w:val="25"/>
        <w:tblpPr w:leftFromText="180" w:rightFromText="180" w:vertAnchor="text" w:horzAnchor="page" w:tblpX="925" w:tblpY="569"/>
        <w:tblOverlap w:val="never"/>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5610"/>
        <w:gridCol w:w="1030"/>
        <w:gridCol w:w="10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trPr>
        <w:tc>
          <w:tcPr>
            <w:tcW w:w="142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w:t>
            </w:r>
          </w:p>
        </w:tc>
        <w:tc>
          <w:tcPr>
            <w:tcW w:w="5610"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评估内容</w:t>
            </w:r>
          </w:p>
        </w:tc>
        <w:tc>
          <w:tcPr>
            <w:tcW w:w="3090" w:type="dxa"/>
            <w:gridSpan w:val="3"/>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 w:hRule="atLeast"/>
        </w:trPr>
        <w:tc>
          <w:tcPr>
            <w:tcW w:w="14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p>
        </w:tc>
        <w:tc>
          <w:tcPr>
            <w:tcW w:w="5610" w:type="dxa"/>
            <w:vMerge w:val="continue"/>
            <w:vAlign w:val="center"/>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b w:val="0"/>
                <w:bCs w:val="0"/>
                <w:sz w:val="28"/>
                <w:szCs w:val="28"/>
              </w:rPr>
            </w:pPr>
          </w:p>
        </w:tc>
        <w:tc>
          <w:tcPr>
            <w:tcW w:w="103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A级</w:t>
            </w:r>
          </w:p>
        </w:tc>
        <w:tc>
          <w:tcPr>
            <w:tcW w:w="103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B级</w:t>
            </w:r>
          </w:p>
        </w:tc>
        <w:tc>
          <w:tcPr>
            <w:tcW w:w="103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14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5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313131"/>
                <w:sz w:val="28"/>
                <w:szCs w:val="28"/>
                <w:shd w:val="clear" w:color="auto" w:fill="FFFFFF"/>
              </w:rPr>
              <w:t>目标明确具体，符合课程标准和学生实际</w:t>
            </w:r>
            <w:r>
              <w:rPr>
                <w:rFonts w:hint="eastAsia" w:ascii="仿宋_GB2312" w:hAnsi="仿宋_GB2312" w:eastAsia="仿宋_GB2312" w:cs="仿宋_GB2312"/>
                <w:b w:val="0"/>
                <w:bCs w:val="0"/>
                <w:color w:val="313131"/>
                <w:sz w:val="28"/>
                <w:szCs w:val="28"/>
                <w:shd w:val="clear" w:color="auto" w:fill="FFFFFF"/>
                <w:lang w:eastAsia="zh-CN"/>
              </w:rPr>
              <w:t>，</w:t>
            </w:r>
            <w:r>
              <w:rPr>
                <w:rFonts w:hint="eastAsia" w:ascii="仿宋_GB2312" w:hAnsi="仿宋_GB2312" w:eastAsia="仿宋_GB2312" w:cs="仿宋_GB2312"/>
                <w:b w:val="0"/>
                <w:bCs w:val="0"/>
                <w:color w:val="313131"/>
                <w:sz w:val="28"/>
                <w:szCs w:val="28"/>
                <w:shd w:val="clear" w:color="auto" w:fill="FFFFFF"/>
              </w:rPr>
              <w:t>目标体现学科性和专业化的统一</w:t>
            </w:r>
            <w:r>
              <w:rPr>
                <w:rFonts w:hint="eastAsia" w:ascii="仿宋_GB2312" w:hAnsi="仿宋_GB2312" w:eastAsia="仿宋_GB2312" w:cs="仿宋_GB2312"/>
                <w:b w:val="0"/>
                <w:bCs w:val="0"/>
                <w:color w:val="313131"/>
                <w:sz w:val="28"/>
                <w:szCs w:val="28"/>
                <w:shd w:val="clear" w:color="auto" w:fill="FFFFFF"/>
                <w:lang w:eastAsia="zh-CN"/>
              </w:rPr>
              <w:t>，</w:t>
            </w:r>
            <w:r>
              <w:rPr>
                <w:rFonts w:hint="eastAsia" w:ascii="仿宋_GB2312" w:hAnsi="仿宋_GB2312" w:eastAsia="仿宋_GB2312" w:cs="仿宋_GB2312"/>
                <w:b w:val="0"/>
                <w:bCs w:val="0"/>
                <w:color w:val="313131"/>
                <w:sz w:val="28"/>
                <w:szCs w:val="28"/>
                <w:shd w:val="clear" w:color="auto" w:fill="FFFFFF"/>
              </w:rPr>
              <w:t xml:space="preserve"> 让学生了解目标，并对学生达到目标的过程有分析和认识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w:t>
            </w:r>
            <w:r>
              <w:rPr>
                <w:rFonts w:hint="eastAsia" w:ascii="仿宋_GB2312" w:hAnsi="仿宋_GB2312" w:eastAsia="仿宋_GB2312" w:cs="仿宋_GB2312"/>
                <w:b w:val="0"/>
                <w:bCs w:val="0"/>
                <w:sz w:val="28"/>
                <w:szCs w:val="28"/>
                <w:lang w:val="en-US" w:eastAsia="zh-CN"/>
              </w:rPr>
              <w:t>0</w:t>
            </w:r>
            <w:r>
              <w:rPr>
                <w:rFonts w:hint="eastAsia" w:ascii="仿宋_GB2312" w:hAnsi="仿宋_GB2312" w:eastAsia="仿宋_GB2312" w:cs="仿宋_GB2312"/>
                <w:b w:val="0"/>
                <w:bCs w:val="0"/>
                <w:sz w:val="28"/>
                <w:szCs w:val="28"/>
              </w:rPr>
              <w:t>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10-1</w:t>
            </w:r>
            <w:r>
              <w:rPr>
                <w:rFonts w:hint="eastAsia" w:ascii="仿宋_GB2312" w:hAnsi="仿宋_GB2312" w:eastAsia="仿宋_GB2312" w:cs="仿宋_GB2312"/>
                <w:b w:val="0"/>
                <w:bCs w:val="0"/>
                <w:sz w:val="28"/>
                <w:szCs w:val="28"/>
                <w:lang w:val="en-US" w:eastAsia="zh-CN"/>
              </w:rPr>
              <w:t>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&lt;1</w:t>
            </w:r>
            <w:r>
              <w:rPr>
                <w:rFonts w:hint="eastAsia" w:ascii="仿宋_GB2312" w:hAnsi="仿宋_GB2312" w:eastAsia="仿宋_GB2312" w:cs="仿宋_GB2312"/>
                <w:b w:val="0"/>
                <w:bCs w:val="0"/>
                <w:sz w:val="28"/>
                <w:szCs w:val="28"/>
                <w:lang w:val="en-US" w:eastAsia="zh-CN"/>
              </w:rPr>
              <w:t>0</w:t>
            </w:r>
            <w:r>
              <w:rPr>
                <w:rFonts w:hint="eastAsia" w:ascii="仿宋_GB2312" w:hAnsi="仿宋_GB2312" w:eastAsia="仿宋_GB2312" w:cs="仿宋_GB2312"/>
                <w:b w:val="0"/>
                <w:bCs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2" w:hRule="atLeast"/>
        </w:trPr>
        <w:tc>
          <w:tcPr>
            <w:tcW w:w="14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5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313131"/>
                <w:sz w:val="28"/>
                <w:szCs w:val="28"/>
                <w:shd w:val="clear" w:color="auto" w:fill="FFFFFF"/>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w:t>
            </w:r>
            <w:r>
              <w:rPr>
                <w:rFonts w:hint="eastAsia" w:ascii="仿宋_GB2312" w:hAnsi="仿宋_GB2312" w:eastAsia="仿宋_GB2312" w:cs="仿宋_GB2312"/>
                <w:b w:val="0"/>
                <w:bCs w:val="0"/>
                <w:sz w:val="28"/>
                <w:szCs w:val="28"/>
                <w:lang w:val="en-US" w:eastAsia="zh-CN"/>
              </w:rPr>
              <w:t>0</w:t>
            </w:r>
            <w:r>
              <w:rPr>
                <w:rFonts w:hint="eastAsia" w:ascii="仿宋_GB2312" w:hAnsi="仿宋_GB2312" w:eastAsia="仿宋_GB2312" w:cs="仿宋_GB2312"/>
                <w:b w:val="0"/>
                <w:bCs w:val="0"/>
                <w:sz w:val="28"/>
                <w:szCs w:val="28"/>
              </w:rPr>
              <w:t>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10-15分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 w:hRule="atLeast"/>
        </w:trPr>
        <w:tc>
          <w:tcPr>
            <w:tcW w:w="14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5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313131"/>
                <w:sz w:val="28"/>
                <w:szCs w:val="28"/>
                <w:shd w:val="clear" w:color="auto" w:fill="FFFFFF"/>
              </w:rPr>
              <w:t>教学文件齐全，任务书、工作页设计合理；内容正确，无知识性、科学性错误；教学重点突出，难点处理得当；结合学生生活和社会实际，联系专业，适时适量拓展；内容符合学科特点，符合学生认知水平</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w:t>
            </w:r>
            <w:r>
              <w:rPr>
                <w:rFonts w:hint="eastAsia" w:ascii="仿宋_GB2312" w:hAnsi="仿宋_GB2312" w:eastAsia="仿宋_GB2312" w:cs="仿宋_GB2312"/>
                <w:b w:val="0"/>
                <w:bCs w:val="0"/>
                <w:sz w:val="28"/>
                <w:szCs w:val="28"/>
                <w:lang w:val="en-US" w:eastAsia="zh-CN"/>
              </w:rPr>
              <w:t>0</w:t>
            </w:r>
            <w:r>
              <w:rPr>
                <w:rFonts w:hint="eastAsia" w:ascii="仿宋_GB2312" w:hAnsi="仿宋_GB2312" w:eastAsia="仿宋_GB2312" w:cs="仿宋_GB2312"/>
                <w:b w:val="0"/>
                <w:bCs w:val="0"/>
                <w:sz w:val="28"/>
                <w:szCs w:val="28"/>
              </w:rPr>
              <w:t>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10-15分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 w:hRule="atLeast"/>
        </w:trPr>
        <w:tc>
          <w:tcPr>
            <w:tcW w:w="14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5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313131"/>
                <w:sz w:val="28"/>
                <w:szCs w:val="28"/>
                <w:shd w:val="clear" w:color="auto" w:fill="FFFFFF"/>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16-20分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10-15分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 w:hRule="atLeast"/>
        </w:trPr>
        <w:tc>
          <w:tcPr>
            <w:tcW w:w="14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教学效果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5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313131"/>
                <w:sz w:val="28"/>
                <w:szCs w:val="28"/>
                <w:shd w:val="clear" w:color="auto" w:fill="FFFFFF"/>
              </w:rPr>
              <w:t>课堂效果评价形式灵活，评价表设计合理；教学成效显著，目标达成度高；课堂气氛和谐，学生思维活跃，参与意识强，注意力集中。</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16-20分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10-15分</w:t>
            </w:r>
          </w:p>
        </w:tc>
        <w:tc>
          <w:tcPr>
            <w:tcW w:w="10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&lt;10分</w:t>
            </w:r>
          </w:p>
        </w:tc>
      </w:tr>
    </w:tbl>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实践教学质量监控</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采取过程性评价和成果考核相结合的方式，通过定期检查和抽查，对实践教学合理评价。</w:t>
      </w:r>
    </w:p>
    <w:p>
      <w:pPr>
        <w:spacing w:line="520" w:lineRule="exact"/>
        <w:ind w:firstLine="560" w:firstLineChars="20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实训教学质量评价表</w:t>
      </w:r>
    </w:p>
    <w:tbl>
      <w:tblPr>
        <w:tblStyle w:val="25"/>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5166"/>
        <w:gridCol w:w="1273"/>
        <w:gridCol w:w="1273"/>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74"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5166"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评价内容</w:t>
            </w:r>
          </w:p>
        </w:tc>
        <w:tc>
          <w:tcPr>
            <w:tcW w:w="3820" w:type="dxa"/>
            <w:gridSpan w:val="3"/>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74"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p>
        </w:tc>
        <w:tc>
          <w:tcPr>
            <w:tcW w:w="5166"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A级</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B级</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教学文件齐全（包括实训指导书、适用的实训设备、工作页等）</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实训室整齐，设施、材料齐全，设备完善，完善率95%以上。</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内容符合教学目标、贴近职业岗位能力要求，内容充实、容量适当。</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注重与学生的交流、互动，能充分调动学生实训的积极性。注重能力培养和技能训练，学生有充分的动手和试讲机会。</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实训步骤紧凑，各阶段时间分配合理，效率高。</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实训过程中指导认真，注意培养学生的创新意识，引导学生进行方法和手段的创新，注意职业素质教育。</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组织科学合理，学生能够得到充分的训练。</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教学纪律好，严格要求，学生都能认真操作，认真记录实训日志，注意安全教育。</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有规范的实训报告、实训总结或上课工作页，教师及时、认真批改、修改，批改、修改率为100%。</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w:t>
            </w:r>
          </w:p>
        </w:tc>
        <w:tc>
          <w:tcPr>
            <w:tcW w:w="51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重视对学生实践能力和创新精神的培养，效果良好，学生能全部掌握实训内容。</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8-10分</w:t>
            </w:r>
          </w:p>
        </w:tc>
        <w:tc>
          <w:tcPr>
            <w:tcW w:w="12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6-8分</w:t>
            </w:r>
          </w:p>
        </w:tc>
        <w:tc>
          <w:tcPr>
            <w:tcW w:w="12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&lt;6分</w:t>
            </w:r>
          </w:p>
        </w:tc>
      </w:tr>
    </w:tbl>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0"/>
        <w:rPr>
          <w:rFonts w:hint="eastAsia" w:ascii="仿宋_GB2312" w:hAnsi="仿宋_GB2312" w:eastAsia="仿宋_GB2312" w:cs="仿宋_GB2312"/>
          <w:b w:val="0"/>
          <w:bCs w:val="0"/>
          <w:sz w:val="28"/>
          <w:szCs w:val="28"/>
        </w:rPr>
      </w:pPr>
      <w:bookmarkStart w:id="29" w:name="_Toc10664"/>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、毕业要求</w:t>
      </w:r>
      <w:bookmarkEnd w:id="29"/>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lang w:val="en-US" w:eastAsia="zh-CN"/>
        </w:rPr>
      </w:pPr>
      <w:bookmarkStart w:id="30" w:name="_Toc32737"/>
      <w:r>
        <w:rPr>
          <w:rFonts w:hint="eastAsia" w:ascii="仿宋_GB2312" w:hAnsi="仿宋_GB2312" w:eastAsia="仿宋_GB2312" w:cs="仿宋_GB2312"/>
          <w:b w:val="0"/>
          <w:bCs w:val="0"/>
          <w:sz w:val="28"/>
          <w:szCs w:val="28"/>
          <w:lang w:val="en-US" w:eastAsia="zh-CN"/>
        </w:rPr>
        <w:t>（一）成绩要求</w:t>
      </w:r>
      <w:bookmarkEnd w:id="30"/>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1.参加中等职业学校学业水平考试，公共基础知识（含德育、语文、数学、英语、计算机应用基础）I卷、专业基础知识I卷、专业技能考试成绩均达到的合格以上。</w:t>
      </w:r>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．修完本专业教学计划中所有课程的学习，成绩全部合格。</w:t>
      </w:r>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．参加半年以上的顶岗实习并成绩合格。</w:t>
      </w:r>
    </w:p>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1"/>
        <w:rPr>
          <w:rFonts w:hint="eastAsia" w:ascii="仿宋_GB2312" w:hAnsi="仿宋_GB2312" w:eastAsia="仿宋_GB2312" w:cs="仿宋_GB2312"/>
          <w:b w:val="0"/>
          <w:bCs w:val="0"/>
          <w:sz w:val="28"/>
          <w:szCs w:val="28"/>
          <w:lang w:val="en-US" w:eastAsia="zh-CN"/>
        </w:rPr>
      </w:pPr>
      <w:bookmarkStart w:id="31" w:name="_Toc19578"/>
      <w:r>
        <w:rPr>
          <w:rFonts w:hint="eastAsia" w:ascii="仿宋_GB2312" w:hAnsi="仿宋_GB2312" w:eastAsia="仿宋_GB2312" w:cs="仿宋_GB2312"/>
          <w:b w:val="0"/>
          <w:bCs w:val="0"/>
          <w:sz w:val="28"/>
          <w:szCs w:val="28"/>
          <w:lang w:val="en-US" w:eastAsia="zh-CN"/>
        </w:rPr>
        <w:t>（二）证书条件</w:t>
      </w:r>
      <w:bookmarkEnd w:id="31"/>
    </w:p>
    <w:p>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学生在学习期间需获得国家教育部颁发的《中等职业学校毕业证书》，根据教育部关于1+X证书的相关要求，学生在校期间至少取得一本由国家劳动和社会保障部颁发的职业资格证书，如《茶艺师》。</w:t>
      </w:r>
    </w:p>
    <w:sectPr>
      <w:pgSz w:w="11906" w:h="16838"/>
      <w:pgMar w:top="1440" w:right="1797" w:bottom="1440" w:left="1644"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Calibri Light">
    <w:altName w:val="PMingLiU"/>
    <w:panose1 w:val="020F0302020204030204"/>
    <w:charset w:val="00"/>
    <w:family w:val="swiss"/>
    <w:pitch w:val="default"/>
    <w:sig w:usb0="00000000" w:usb1="00000000" w:usb2="00000000"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9A7E"/>
    <w:multiLevelType w:val="singleLevel"/>
    <w:tmpl w:val="0A8A9A7E"/>
    <w:lvl w:ilvl="0" w:tentative="0">
      <w:start w:val="6"/>
      <w:numFmt w:val="chineseCounting"/>
      <w:suff w:val="nothing"/>
      <w:lvlText w:val="%1、"/>
      <w:lvlJc w:val="left"/>
      <w:rPr>
        <w:rFonts w:hint="eastAsia"/>
      </w:rPr>
    </w:lvl>
  </w:abstractNum>
  <w:abstractNum w:abstractNumId="1">
    <w:nsid w:val="59298384"/>
    <w:multiLevelType w:val="singleLevel"/>
    <w:tmpl w:val="5929838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2D"/>
    <w:rsid w:val="00010F16"/>
    <w:rsid w:val="000378E8"/>
    <w:rsid w:val="0005263C"/>
    <w:rsid w:val="000B6EA2"/>
    <w:rsid w:val="000C1E6D"/>
    <w:rsid w:val="000D772E"/>
    <w:rsid w:val="000E3022"/>
    <w:rsid w:val="000F1C66"/>
    <w:rsid w:val="0010323A"/>
    <w:rsid w:val="00115F6F"/>
    <w:rsid w:val="001364F7"/>
    <w:rsid w:val="00144D53"/>
    <w:rsid w:val="00156F53"/>
    <w:rsid w:val="00171E8E"/>
    <w:rsid w:val="001748D0"/>
    <w:rsid w:val="0019256A"/>
    <w:rsid w:val="001929E3"/>
    <w:rsid w:val="001A55A8"/>
    <w:rsid w:val="001C21D3"/>
    <w:rsid w:val="002242E7"/>
    <w:rsid w:val="00231027"/>
    <w:rsid w:val="00231B66"/>
    <w:rsid w:val="00282191"/>
    <w:rsid w:val="002A2FBA"/>
    <w:rsid w:val="002D53E1"/>
    <w:rsid w:val="00306A87"/>
    <w:rsid w:val="00322C48"/>
    <w:rsid w:val="0035170D"/>
    <w:rsid w:val="003633EF"/>
    <w:rsid w:val="00372ADF"/>
    <w:rsid w:val="0038682B"/>
    <w:rsid w:val="003C094E"/>
    <w:rsid w:val="003E4D52"/>
    <w:rsid w:val="0042402E"/>
    <w:rsid w:val="0046596E"/>
    <w:rsid w:val="00472CBA"/>
    <w:rsid w:val="00474928"/>
    <w:rsid w:val="004812B5"/>
    <w:rsid w:val="00486632"/>
    <w:rsid w:val="004C2D7D"/>
    <w:rsid w:val="004C5743"/>
    <w:rsid w:val="004E114F"/>
    <w:rsid w:val="004E567F"/>
    <w:rsid w:val="004F7F50"/>
    <w:rsid w:val="005013B9"/>
    <w:rsid w:val="00506C55"/>
    <w:rsid w:val="00525771"/>
    <w:rsid w:val="00526B6A"/>
    <w:rsid w:val="005A1412"/>
    <w:rsid w:val="005D34F4"/>
    <w:rsid w:val="005F3FF8"/>
    <w:rsid w:val="00637D65"/>
    <w:rsid w:val="0064765C"/>
    <w:rsid w:val="00665795"/>
    <w:rsid w:val="006755CC"/>
    <w:rsid w:val="0068520D"/>
    <w:rsid w:val="006954D3"/>
    <w:rsid w:val="006A662E"/>
    <w:rsid w:val="00713542"/>
    <w:rsid w:val="00715603"/>
    <w:rsid w:val="00774E99"/>
    <w:rsid w:val="0078603D"/>
    <w:rsid w:val="007F5B49"/>
    <w:rsid w:val="00811857"/>
    <w:rsid w:val="008141C3"/>
    <w:rsid w:val="00831C0C"/>
    <w:rsid w:val="0083368A"/>
    <w:rsid w:val="00837DA6"/>
    <w:rsid w:val="00846567"/>
    <w:rsid w:val="00875DBB"/>
    <w:rsid w:val="008859C8"/>
    <w:rsid w:val="008D0709"/>
    <w:rsid w:val="008D4837"/>
    <w:rsid w:val="00914EB6"/>
    <w:rsid w:val="0092144E"/>
    <w:rsid w:val="0093338B"/>
    <w:rsid w:val="00934925"/>
    <w:rsid w:val="009354F2"/>
    <w:rsid w:val="00944BB5"/>
    <w:rsid w:val="00956476"/>
    <w:rsid w:val="00983D6D"/>
    <w:rsid w:val="009931B9"/>
    <w:rsid w:val="009A7DB7"/>
    <w:rsid w:val="009C19CB"/>
    <w:rsid w:val="009E7310"/>
    <w:rsid w:val="00A076DC"/>
    <w:rsid w:val="00A42469"/>
    <w:rsid w:val="00A454C4"/>
    <w:rsid w:val="00A468E1"/>
    <w:rsid w:val="00A657EA"/>
    <w:rsid w:val="00A754AA"/>
    <w:rsid w:val="00A83646"/>
    <w:rsid w:val="00A923AF"/>
    <w:rsid w:val="00A96919"/>
    <w:rsid w:val="00AA244D"/>
    <w:rsid w:val="00AB0AAF"/>
    <w:rsid w:val="00AE450E"/>
    <w:rsid w:val="00AE4E35"/>
    <w:rsid w:val="00B31E1E"/>
    <w:rsid w:val="00B437D7"/>
    <w:rsid w:val="00B71271"/>
    <w:rsid w:val="00B964B9"/>
    <w:rsid w:val="00BB6401"/>
    <w:rsid w:val="00BD5A19"/>
    <w:rsid w:val="00BD6C0B"/>
    <w:rsid w:val="00BD79C4"/>
    <w:rsid w:val="00BF7831"/>
    <w:rsid w:val="00C15368"/>
    <w:rsid w:val="00C206F0"/>
    <w:rsid w:val="00C27EE4"/>
    <w:rsid w:val="00C6796B"/>
    <w:rsid w:val="00C67B67"/>
    <w:rsid w:val="00C84370"/>
    <w:rsid w:val="00C84D59"/>
    <w:rsid w:val="00C92C91"/>
    <w:rsid w:val="00C96DF6"/>
    <w:rsid w:val="00CB42BC"/>
    <w:rsid w:val="00CF1EA5"/>
    <w:rsid w:val="00D123CF"/>
    <w:rsid w:val="00D20C42"/>
    <w:rsid w:val="00D85D8B"/>
    <w:rsid w:val="00DA40E3"/>
    <w:rsid w:val="00DB476B"/>
    <w:rsid w:val="00DD1376"/>
    <w:rsid w:val="00DF29B1"/>
    <w:rsid w:val="00E014B5"/>
    <w:rsid w:val="00E123E1"/>
    <w:rsid w:val="00E36A51"/>
    <w:rsid w:val="00E81E89"/>
    <w:rsid w:val="00ED4978"/>
    <w:rsid w:val="00EE5905"/>
    <w:rsid w:val="00F2146E"/>
    <w:rsid w:val="00F2150E"/>
    <w:rsid w:val="00F36766"/>
    <w:rsid w:val="00F9588F"/>
    <w:rsid w:val="00FB17B0"/>
    <w:rsid w:val="00FC0943"/>
    <w:rsid w:val="00FD3106"/>
    <w:rsid w:val="00FE6F63"/>
    <w:rsid w:val="01655E65"/>
    <w:rsid w:val="016E1715"/>
    <w:rsid w:val="019219CB"/>
    <w:rsid w:val="01971CE4"/>
    <w:rsid w:val="01F5027E"/>
    <w:rsid w:val="02AF0642"/>
    <w:rsid w:val="02B7624C"/>
    <w:rsid w:val="0307662E"/>
    <w:rsid w:val="033101A0"/>
    <w:rsid w:val="03D57054"/>
    <w:rsid w:val="046A1871"/>
    <w:rsid w:val="04DC3BEB"/>
    <w:rsid w:val="07C17762"/>
    <w:rsid w:val="07E90E05"/>
    <w:rsid w:val="09A742AF"/>
    <w:rsid w:val="09DA288A"/>
    <w:rsid w:val="0B1633FE"/>
    <w:rsid w:val="0C073063"/>
    <w:rsid w:val="0CBE0717"/>
    <w:rsid w:val="0CF77704"/>
    <w:rsid w:val="0F3F4136"/>
    <w:rsid w:val="0F9D3129"/>
    <w:rsid w:val="0FCB29D5"/>
    <w:rsid w:val="0FF92CDF"/>
    <w:rsid w:val="100C4FCB"/>
    <w:rsid w:val="11206597"/>
    <w:rsid w:val="117B5072"/>
    <w:rsid w:val="12167200"/>
    <w:rsid w:val="12DA176C"/>
    <w:rsid w:val="12F21CFF"/>
    <w:rsid w:val="147100AF"/>
    <w:rsid w:val="15440E9D"/>
    <w:rsid w:val="15913F9E"/>
    <w:rsid w:val="15954511"/>
    <w:rsid w:val="1595469E"/>
    <w:rsid w:val="15972FD3"/>
    <w:rsid w:val="15F173FC"/>
    <w:rsid w:val="165477A2"/>
    <w:rsid w:val="16D550CE"/>
    <w:rsid w:val="19797330"/>
    <w:rsid w:val="1AB9799A"/>
    <w:rsid w:val="1AED2991"/>
    <w:rsid w:val="1C5045D8"/>
    <w:rsid w:val="1D4B0D89"/>
    <w:rsid w:val="1D8614F2"/>
    <w:rsid w:val="1DDF04FB"/>
    <w:rsid w:val="1E147311"/>
    <w:rsid w:val="1E310F52"/>
    <w:rsid w:val="1E5F2070"/>
    <w:rsid w:val="1F903600"/>
    <w:rsid w:val="2159460B"/>
    <w:rsid w:val="22B463A0"/>
    <w:rsid w:val="23013481"/>
    <w:rsid w:val="239B60B9"/>
    <w:rsid w:val="240A539F"/>
    <w:rsid w:val="24300902"/>
    <w:rsid w:val="24E71FEA"/>
    <w:rsid w:val="25D9639C"/>
    <w:rsid w:val="26FC7CDE"/>
    <w:rsid w:val="289179AD"/>
    <w:rsid w:val="28A805A2"/>
    <w:rsid w:val="2BB331C9"/>
    <w:rsid w:val="2F217169"/>
    <w:rsid w:val="2F4A66E6"/>
    <w:rsid w:val="32612D5C"/>
    <w:rsid w:val="32F64B55"/>
    <w:rsid w:val="33CB11EA"/>
    <w:rsid w:val="33EC4728"/>
    <w:rsid w:val="34814064"/>
    <w:rsid w:val="354E252E"/>
    <w:rsid w:val="361E7C84"/>
    <w:rsid w:val="363B16CC"/>
    <w:rsid w:val="370541C6"/>
    <w:rsid w:val="372C03A9"/>
    <w:rsid w:val="37701D7D"/>
    <w:rsid w:val="389B576B"/>
    <w:rsid w:val="39BD36F2"/>
    <w:rsid w:val="39CE38A0"/>
    <w:rsid w:val="3A1A22B5"/>
    <w:rsid w:val="3B0A4D65"/>
    <w:rsid w:val="3B316708"/>
    <w:rsid w:val="3C9859BB"/>
    <w:rsid w:val="3D72194D"/>
    <w:rsid w:val="3DB64D77"/>
    <w:rsid w:val="3EC16E76"/>
    <w:rsid w:val="3F8C62FE"/>
    <w:rsid w:val="3FB6619E"/>
    <w:rsid w:val="407D5DC5"/>
    <w:rsid w:val="40B22464"/>
    <w:rsid w:val="40FF2506"/>
    <w:rsid w:val="412E1EDF"/>
    <w:rsid w:val="429E5FF3"/>
    <w:rsid w:val="42D80591"/>
    <w:rsid w:val="441F0F0B"/>
    <w:rsid w:val="44453D7F"/>
    <w:rsid w:val="460B0159"/>
    <w:rsid w:val="4776085B"/>
    <w:rsid w:val="47CF6F3C"/>
    <w:rsid w:val="48181751"/>
    <w:rsid w:val="49D30513"/>
    <w:rsid w:val="4A535D20"/>
    <w:rsid w:val="4A701B2D"/>
    <w:rsid w:val="4AAF1834"/>
    <w:rsid w:val="4C43238C"/>
    <w:rsid w:val="4C9238B8"/>
    <w:rsid w:val="4D1106A0"/>
    <w:rsid w:val="4D39382F"/>
    <w:rsid w:val="4E99612E"/>
    <w:rsid w:val="4EAA2A53"/>
    <w:rsid w:val="4F240502"/>
    <w:rsid w:val="4F811214"/>
    <w:rsid w:val="4F9E69F2"/>
    <w:rsid w:val="50570A0D"/>
    <w:rsid w:val="50DF4595"/>
    <w:rsid w:val="514F611A"/>
    <w:rsid w:val="51E20481"/>
    <w:rsid w:val="544C291D"/>
    <w:rsid w:val="54F406B5"/>
    <w:rsid w:val="56063C62"/>
    <w:rsid w:val="57AE1FC2"/>
    <w:rsid w:val="586B536A"/>
    <w:rsid w:val="589C1EF2"/>
    <w:rsid w:val="58B26ADD"/>
    <w:rsid w:val="5AAE4E14"/>
    <w:rsid w:val="5B531C16"/>
    <w:rsid w:val="5BC10812"/>
    <w:rsid w:val="5C9217EF"/>
    <w:rsid w:val="5CD5533F"/>
    <w:rsid w:val="5D1437C1"/>
    <w:rsid w:val="5DF7384F"/>
    <w:rsid w:val="5E666A91"/>
    <w:rsid w:val="5E79010A"/>
    <w:rsid w:val="5F485CB5"/>
    <w:rsid w:val="5FA62EDF"/>
    <w:rsid w:val="600C2480"/>
    <w:rsid w:val="609C7965"/>
    <w:rsid w:val="60F0622E"/>
    <w:rsid w:val="61033380"/>
    <w:rsid w:val="612F2E41"/>
    <w:rsid w:val="61541571"/>
    <w:rsid w:val="626E4B93"/>
    <w:rsid w:val="62CC3929"/>
    <w:rsid w:val="62E17DA1"/>
    <w:rsid w:val="62E43E4B"/>
    <w:rsid w:val="644529B7"/>
    <w:rsid w:val="65E36295"/>
    <w:rsid w:val="67046432"/>
    <w:rsid w:val="670F2E58"/>
    <w:rsid w:val="671B266C"/>
    <w:rsid w:val="67C73FD3"/>
    <w:rsid w:val="6815766F"/>
    <w:rsid w:val="68201606"/>
    <w:rsid w:val="683A68AB"/>
    <w:rsid w:val="689757CE"/>
    <w:rsid w:val="6A3A382B"/>
    <w:rsid w:val="6A7B5D34"/>
    <w:rsid w:val="6CD57359"/>
    <w:rsid w:val="6CFB5F96"/>
    <w:rsid w:val="6D7D55FF"/>
    <w:rsid w:val="6DE65D96"/>
    <w:rsid w:val="6E063658"/>
    <w:rsid w:val="6E65368A"/>
    <w:rsid w:val="6F181E27"/>
    <w:rsid w:val="6F45328C"/>
    <w:rsid w:val="6F9959E6"/>
    <w:rsid w:val="703E337F"/>
    <w:rsid w:val="70605F7E"/>
    <w:rsid w:val="718D27C6"/>
    <w:rsid w:val="728063BE"/>
    <w:rsid w:val="74267311"/>
    <w:rsid w:val="74A2701A"/>
    <w:rsid w:val="75583BD3"/>
    <w:rsid w:val="762C2D09"/>
    <w:rsid w:val="76BB6C30"/>
    <w:rsid w:val="76BE1ED1"/>
    <w:rsid w:val="76E1594A"/>
    <w:rsid w:val="786505B6"/>
    <w:rsid w:val="78FE2CCE"/>
    <w:rsid w:val="797706E5"/>
    <w:rsid w:val="79B812B8"/>
    <w:rsid w:val="7AE54F11"/>
    <w:rsid w:val="7B4615B5"/>
    <w:rsid w:val="7C41599C"/>
    <w:rsid w:val="7C460736"/>
    <w:rsid w:val="7C7910CA"/>
    <w:rsid w:val="7C941E1C"/>
    <w:rsid w:val="7D937A63"/>
    <w:rsid w:val="7DAB3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0"/>
    <w:qFormat/>
    <w:locked/>
    <w:uiPriority w:val="99"/>
    <w:pPr>
      <w:keepNext/>
      <w:keepLines/>
      <w:spacing w:beforeLines="100" w:line="360" w:lineRule="auto"/>
      <w:jc w:val="left"/>
      <w:outlineLvl w:val="0"/>
    </w:pPr>
    <w:rPr>
      <w:rFonts w:ascii="黑体" w:hAnsi="黑体" w:eastAsia="黑体" w:cs="黑体"/>
      <w:b/>
      <w:bCs/>
      <w:kern w:val="44"/>
      <w:sz w:val="30"/>
      <w:szCs w:val="30"/>
    </w:rPr>
  </w:style>
  <w:style w:type="paragraph" w:styleId="3">
    <w:name w:val="heading 2"/>
    <w:basedOn w:val="1"/>
    <w:next w:val="1"/>
    <w:link w:val="41"/>
    <w:qFormat/>
    <w:locked/>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42"/>
    <w:qFormat/>
    <w:locked/>
    <w:uiPriority w:val="9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Normal Indent"/>
    <w:basedOn w:val="1"/>
    <w:qFormat/>
    <w:uiPriority w:val="99"/>
    <w:pPr>
      <w:spacing w:line="240" w:lineRule="atLeast"/>
      <w:ind w:firstLine="420"/>
    </w:pPr>
    <w:rPr>
      <w:rFonts w:ascii="Arial" w:hAnsi="Arial" w:cs="Arial"/>
    </w:rPr>
  </w:style>
  <w:style w:type="paragraph" w:styleId="6">
    <w:name w:val="caption"/>
    <w:basedOn w:val="1"/>
    <w:next w:val="1"/>
    <w:qFormat/>
    <w:locked/>
    <w:uiPriority w:val="99"/>
    <w:pPr>
      <w:adjustRightInd w:val="0"/>
      <w:snapToGrid w:val="0"/>
      <w:spacing w:beforeLines="50" w:line="360" w:lineRule="auto"/>
      <w:ind w:firstLine="200" w:firstLineChars="200"/>
      <w:jc w:val="center"/>
    </w:pPr>
    <w:rPr>
      <w:rFonts w:ascii="Cambria" w:hAnsi="Cambria" w:eastAsia="仿宋" w:cs="Cambria"/>
      <w:sz w:val="20"/>
      <w:szCs w:val="20"/>
    </w:rPr>
  </w:style>
  <w:style w:type="paragraph" w:styleId="7">
    <w:name w:val="Document Map"/>
    <w:basedOn w:val="1"/>
    <w:link w:val="43"/>
    <w:semiHidden/>
    <w:qFormat/>
    <w:uiPriority w:val="99"/>
    <w:rPr>
      <w:rFonts w:ascii="宋体" w:hAnsi="Times New Roman" w:cs="宋体"/>
      <w:sz w:val="18"/>
      <w:szCs w:val="18"/>
      <w:lang w:val="zh-CN"/>
    </w:rPr>
  </w:style>
  <w:style w:type="paragraph" w:styleId="8">
    <w:name w:val="annotation text"/>
    <w:basedOn w:val="1"/>
    <w:link w:val="44"/>
    <w:semiHidden/>
    <w:qFormat/>
    <w:uiPriority w:val="99"/>
    <w:pPr>
      <w:jc w:val="left"/>
    </w:pPr>
  </w:style>
  <w:style w:type="paragraph" w:styleId="9">
    <w:name w:val="Body Text"/>
    <w:basedOn w:val="1"/>
    <w:link w:val="45"/>
    <w:qFormat/>
    <w:uiPriority w:val="99"/>
    <w:pPr>
      <w:spacing w:after="120"/>
    </w:pPr>
    <w:rPr>
      <w:rFonts w:ascii="Times New Roman" w:hAnsi="Times New Roman" w:cs="Times New Roman"/>
      <w:kern w:val="0"/>
      <w:sz w:val="20"/>
      <w:szCs w:val="20"/>
    </w:rPr>
  </w:style>
  <w:style w:type="paragraph" w:styleId="10">
    <w:name w:val="Body Text Indent"/>
    <w:basedOn w:val="1"/>
    <w:link w:val="46"/>
    <w:qFormat/>
    <w:uiPriority w:val="99"/>
    <w:pPr>
      <w:widowControl/>
      <w:wordWrap w:val="0"/>
      <w:spacing w:line="400" w:lineRule="exact"/>
      <w:ind w:firstLine="420" w:firstLineChars="200"/>
      <w:jc w:val="left"/>
    </w:pPr>
    <w:rPr>
      <w:rFonts w:ascii="Times New Roman" w:hAnsi="Times New Roman" w:cs="Times New Roman"/>
      <w:kern w:val="0"/>
      <w:sz w:val="20"/>
      <w:szCs w:val="20"/>
      <w:lang w:val="zh-CN"/>
    </w:rPr>
  </w:style>
  <w:style w:type="paragraph" w:styleId="11">
    <w:name w:val="Plain Text"/>
    <w:basedOn w:val="1"/>
    <w:link w:val="47"/>
    <w:qFormat/>
    <w:uiPriority w:val="99"/>
    <w:pPr>
      <w:widowControl/>
      <w:jc w:val="left"/>
    </w:pPr>
    <w:rPr>
      <w:rFonts w:ascii="宋体" w:hAnsi="Courier New" w:cs="宋体"/>
      <w:kern w:val="0"/>
      <w:sz w:val="24"/>
      <w:szCs w:val="24"/>
      <w:lang w:eastAsia="en-US"/>
    </w:rPr>
  </w:style>
  <w:style w:type="paragraph" w:styleId="12">
    <w:name w:val="Date"/>
    <w:basedOn w:val="1"/>
    <w:next w:val="1"/>
    <w:link w:val="48"/>
    <w:qFormat/>
    <w:uiPriority w:val="99"/>
    <w:pPr>
      <w:ind w:left="100" w:leftChars="2500"/>
    </w:pPr>
    <w:rPr>
      <w:rFonts w:ascii="Times New Roman" w:hAnsi="Times New Roman" w:cs="Times New Roman"/>
      <w:sz w:val="24"/>
      <w:szCs w:val="24"/>
      <w:lang w:val="zh-CN"/>
    </w:rPr>
  </w:style>
  <w:style w:type="paragraph" w:styleId="13">
    <w:name w:val="Body Text Indent 2"/>
    <w:basedOn w:val="1"/>
    <w:link w:val="49"/>
    <w:qFormat/>
    <w:uiPriority w:val="99"/>
    <w:pPr>
      <w:ind w:firstLine="480" w:firstLineChars="200"/>
    </w:pPr>
    <w:rPr>
      <w:rFonts w:ascii="Times New Roman" w:hAnsi="Times New Roman" w:cs="Times New Roman"/>
      <w:kern w:val="0"/>
      <w:sz w:val="20"/>
      <w:szCs w:val="20"/>
      <w:lang w:val="zh-CN"/>
    </w:rPr>
  </w:style>
  <w:style w:type="paragraph" w:styleId="14">
    <w:name w:val="Balloon Text"/>
    <w:basedOn w:val="1"/>
    <w:link w:val="50"/>
    <w:semiHidden/>
    <w:qFormat/>
    <w:uiPriority w:val="99"/>
    <w:rPr>
      <w:kern w:val="0"/>
      <w:sz w:val="18"/>
      <w:szCs w:val="18"/>
    </w:rPr>
  </w:style>
  <w:style w:type="paragraph" w:styleId="15">
    <w:name w:val="footer"/>
    <w:basedOn w:val="1"/>
    <w:link w:val="51"/>
    <w:qFormat/>
    <w:uiPriority w:val="99"/>
    <w:pPr>
      <w:tabs>
        <w:tab w:val="center" w:pos="4153"/>
        <w:tab w:val="right" w:pos="8306"/>
      </w:tabs>
      <w:snapToGrid w:val="0"/>
      <w:jc w:val="left"/>
    </w:pPr>
    <w:rPr>
      <w:sz w:val="18"/>
      <w:szCs w:val="18"/>
    </w:rPr>
  </w:style>
  <w:style w:type="paragraph" w:styleId="16">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7">
    <w:name w:val="toc 1"/>
    <w:basedOn w:val="1"/>
    <w:next w:val="1"/>
    <w:semiHidden/>
    <w:qFormat/>
    <w:uiPriority w:val="99"/>
  </w:style>
  <w:style w:type="paragraph" w:styleId="18">
    <w:name w:val="Subtitle"/>
    <w:basedOn w:val="1"/>
    <w:next w:val="1"/>
    <w:link w:val="69"/>
    <w:qFormat/>
    <w:locked/>
    <w:uiPriority w:val="99"/>
    <w:pPr>
      <w:spacing w:before="240" w:after="60" w:line="312" w:lineRule="auto"/>
      <w:jc w:val="center"/>
      <w:outlineLvl w:val="1"/>
    </w:pPr>
    <w:rPr>
      <w:rFonts w:ascii="Cambria" w:hAnsi="Cambria" w:cs="Cambria"/>
      <w:b/>
      <w:bCs/>
      <w:kern w:val="28"/>
      <w:sz w:val="32"/>
      <w:szCs w:val="32"/>
      <w:lang w:val="zh-CN"/>
    </w:rPr>
  </w:style>
  <w:style w:type="paragraph" w:styleId="19">
    <w:name w:val="Body Text Indent 3"/>
    <w:basedOn w:val="1"/>
    <w:link w:val="54"/>
    <w:qFormat/>
    <w:uiPriority w:val="99"/>
    <w:pPr>
      <w:widowControl/>
      <w:spacing w:line="360" w:lineRule="auto"/>
      <w:ind w:firstLine="480" w:firstLineChars="200"/>
      <w:jc w:val="left"/>
    </w:pPr>
    <w:rPr>
      <w:rFonts w:ascii="Times New Roman" w:hAnsi="Times New Roman" w:cs="Times New Roman"/>
      <w:kern w:val="0"/>
      <w:sz w:val="16"/>
      <w:szCs w:val="16"/>
      <w:lang w:val="zh-CN"/>
    </w:rPr>
  </w:style>
  <w:style w:type="paragraph" w:styleId="20">
    <w:name w:val="toc 2"/>
    <w:basedOn w:val="1"/>
    <w:next w:val="1"/>
    <w:semiHidden/>
    <w:qFormat/>
    <w:uiPriority w:val="99"/>
    <w:pPr>
      <w:widowControl/>
      <w:spacing w:beforeLines="20" w:line="288" w:lineRule="auto"/>
      <w:ind w:left="200" w:leftChars="200"/>
      <w:jc w:val="left"/>
    </w:pPr>
    <w:rPr>
      <w:b/>
      <w:bCs/>
      <w:kern w:val="0"/>
      <w:sz w:val="24"/>
      <w:szCs w:val="24"/>
    </w:rPr>
  </w:style>
  <w:style w:type="paragraph" w:styleId="21">
    <w:name w:val="Body Text 2"/>
    <w:basedOn w:val="1"/>
    <w:link w:val="55"/>
    <w:qFormat/>
    <w:uiPriority w:val="99"/>
    <w:pPr>
      <w:spacing w:after="120" w:line="480" w:lineRule="auto"/>
    </w:pPr>
    <w:rPr>
      <w:rFonts w:ascii="Times New Roman" w:hAnsi="Times New Roman" w:cs="Times New Roman"/>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64"/>
    <w:qFormat/>
    <w:locked/>
    <w:uiPriority w:val="99"/>
    <w:pPr>
      <w:widowControl/>
      <w:spacing w:before="240" w:after="60"/>
      <w:jc w:val="center"/>
      <w:outlineLvl w:val="0"/>
    </w:pPr>
    <w:rPr>
      <w:rFonts w:ascii="Cambria" w:hAnsi="Cambria" w:cs="Cambria"/>
      <w:b/>
      <w:bCs/>
      <w:kern w:val="28"/>
      <w:sz w:val="32"/>
      <w:szCs w:val="32"/>
    </w:rPr>
  </w:style>
  <w:style w:type="paragraph" w:styleId="24">
    <w:name w:val="annotation subject"/>
    <w:basedOn w:val="8"/>
    <w:next w:val="8"/>
    <w:link w:val="57"/>
    <w:semiHidden/>
    <w:qFormat/>
    <w:uiPriority w:val="99"/>
    <w:rPr>
      <w:rFonts w:ascii="Times New Roman" w:hAnsi="Times New Roman" w:cs="Times New Roman"/>
      <w:b/>
      <w:bCs/>
      <w:sz w:val="24"/>
      <w:szCs w:val="24"/>
      <w:lang w:val="zh-CN"/>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qFormat/>
    <w:locked/>
    <w:uiPriority w:val="99"/>
    <w:rPr>
      <w:b/>
      <w:bCs/>
    </w:rPr>
  </w:style>
  <w:style w:type="character" w:styleId="29">
    <w:name w:val="page number"/>
    <w:basedOn w:val="27"/>
    <w:qFormat/>
    <w:uiPriority w:val="99"/>
  </w:style>
  <w:style w:type="character" w:styleId="30">
    <w:name w:val="FollowedHyperlink"/>
    <w:basedOn w:val="27"/>
    <w:qFormat/>
    <w:uiPriority w:val="99"/>
    <w:rPr>
      <w:color w:val="800080"/>
      <w:u w:val="none"/>
    </w:rPr>
  </w:style>
  <w:style w:type="character" w:styleId="31">
    <w:name w:val="Emphasis"/>
    <w:basedOn w:val="27"/>
    <w:qFormat/>
    <w:uiPriority w:val="0"/>
    <w:rPr>
      <w:b/>
      <w:bCs/>
    </w:rPr>
  </w:style>
  <w:style w:type="character" w:styleId="32">
    <w:name w:val="HTML Definition"/>
    <w:basedOn w:val="27"/>
    <w:semiHidden/>
    <w:unhideWhenUsed/>
    <w:qFormat/>
    <w:locked/>
    <w:uiPriority w:val="99"/>
  </w:style>
  <w:style w:type="character" w:styleId="33">
    <w:name w:val="HTML Variable"/>
    <w:basedOn w:val="27"/>
    <w:semiHidden/>
    <w:unhideWhenUsed/>
    <w:qFormat/>
    <w:locked/>
    <w:uiPriority w:val="99"/>
  </w:style>
  <w:style w:type="character" w:styleId="34">
    <w:name w:val="Hyperlink"/>
    <w:basedOn w:val="27"/>
    <w:qFormat/>
    <w:uiPriority w:val="99"/>
    <w:rPr>
      <w:color w:val="0000FF"/>
      <w:u w:val="none"/>
    </w:rPr>
  </w:style>
  <w:style w:type="character" w:styleId="35">
    <w:name w:val="HTML Code"/>
    <w:basedOn w:val="27"/>
    <w:semiHidden/>
    <w:unhideWhenUsed/>
    <w:qFormat/>
    <w:locked/>
    <w:uiPriority w:val="99"/>
    <w:rPr>
      <w:rFonts w:ascii="Courier New" w:hAnsi="Courier New"/>
      <w:sz w:val="20"/>
    </w:rPr>
  </w:style>
  <w:style w:type="character" w:styleId="36">
    <w:name w:val="annotation reference"/>
    <w:semiHidden/>
    <w:qFormat/>
    <w:uiPriority w:val="99"/>
    <w:rPr>
      <w:sz w:val="21"/>
      <w:szCs w:val="21"/>
    </w:rPr>
  </w:style>
  <w:style w:type="character" w:styleId="37">
    <w:name w:val="HTML Cite"/>
    <w:basedOn w:val="27"/>
    <w:semiHidden/>
    <w:unhideWhenUsed/>
    <w:qFormat/>
    <w:locked/>
    <w:uiPriority w:val="99"/>
  </w:style>
  <w:style w:type="character" w:styleId="38">
    <w:name w:val="HTML Keyboard"/>
    <w:basedOn w:val="27"/>
    <w:semiHidden/>
    <w:unhideWhenUsed/>
    <w:qFormat/>
    <w:locked/>
    <w:uiPriority w:val="99"/>
    <w:rPr>
      <w:rFonts w:ascii="Courier New" w:hAnsi="Courier New"/>
      <w:sz w:val="20"/>
    </w:rPr>
  </w:style>
  <w:style w:type="character" w:styleId="39">
    <w:name w:val="HTML Sample"/>
    <w:basedOn w:val="27"/>
    <w:semiHidden/>
    <w:unhideWhenUsed/>
    <w:qFormat/>
    <w:locked/>
    <w:uiPriority w:val="99"/>
    <w:rPr>
      <w:rFonts w:ascii="Courier New" w:hAnsi="Courier New"/>
    </w:rPr>
  </w:style>
  <w:style w:type="character" w:customStyle="1" w:styleId="40">
    <w:name w:val="标题 1 字符"/>
    <w:link w:val="2"/>
    <w:qFormat/>
    <w:locked/>
    <w:uiPriority w:val="99"/>
    <w:rPr>
      <w:rFonts w:ascii="黑体" w:hAnsi="黑体" w:eastAsia="黑体" w:cs="黑体"/>
      <w:b/>
      <w:bCs/>
      <w:kern w:val="44"/>
      <w:sz w:val="30"/>
      <w:szCs w:val="30"/>
    </w:rPr>
  </w:style>
  <w:style w:type="character" w:customStyle="1" w:styleId="41">
    <w:name w:val="标题 2 字符"/>
    <w:link w:val="3"/>
    <w:qFormat/>
    <w:locked/>
    <w:uiPriority w:val="99"/>
    <w:rPr>
      <w:rFonts w:ascii="Cambria" w:hAnsi="Cambria" w:cs="Cambria"/>
      <w:b/>
      <w:bCs/>
      <w:sz w:val="32"/>
      <w:szCs w:val="32"/>
    </w:rPr>
  </w:style>
  <w:style w:type="character" w:customStyle="1" w:styleId="42">
    <w:name w:val="标题 3 字符"/>
    <w:link w:val="4"/>
    <w:qFormat/>
    <w:locked/>
    <w:uiPriority w:val="99"/>
    <w:rPr>
      <w:b/>
      <w:bCs/>
      <w:sz w:val="32"/>
      <w:szCs w:val="32"/>
    </w:rPr>
  </w:style>
  <w:style w:type="character" w:customStyle="1" w:styleId="43">
    <w:name w:val="文档结构图 字符"/>
    <w:link w:val="7"/>
    <w:qFormat/>
    <w:locked/>
    <w:uiPriority w:val="99"/>
    <w:rPr>
      <w:rFonts w:ascii="宋体" w:hAnsi="Times New Roman" w:cs="宋体"/>
      <w:sz w:val="20"/>
      <w:szCs w:val="20"/>
      <w:lang w:val="zh-CN" w:eastAsia="zh-CN"/>
    </w:rPr>
  </w:style>
  <w:style w:type="character" w:customStyle="1" w:styleId="44">
    <w:name w:val="批注文字 字符"/>
    <w:basedOn w:val="27"/>
    <w:link w:val="8"/>
    <w:semiHidden/>
    <w:qFormat/>
    <w:locked/>
    <w:uiPriority w:val="99"/>
  </w:style>
  <w:style w:type="character" w:customStyle="1" w:styleId="45">
    <w:name w:val="正文文本 字符"/>
    <w:link w:val="9"/>
    <w:qFormat/>
    <w:locked/>
    <w:uiPriority w:val="99"/>
    <w:rPr>
      <w:sz w:val="24"/>
      <w:szCs w:val="24"/>
    </w:rPr>
  </w:style>
  <w:style w:type="character" w:customStyle="1" w:styleId="46">
    <w:name w:val="正文文本缩进 字符"/>
    <w:link w:val="10"/>
    <w:qFormat/>
    <w:locked/>
    <w:uiPriority w:val="99"/>
    <w:rPr>
      <w:rFonts w:ascii="Times New Roman" w:hAnsi="Times New Roman" w:cs="Times New Roman"/>
      <w:kern w:val="0"/>
      <w:sz w:val="24"/>
      <w:szCs w:val="24"/>
      <w:lang w:val="zh-CN" w:eastAsia="zh-CN"/>
    </w:rPr>
  </w:style>
  <w:style w:type="character" w:customStyle="1" w:styleId="47">
    <w:name w:val="纯文本 字符"/>
    <w:link w:val="11"/>
    <w:qFormat/>
    <w:locked/>
    <w:uiPriority w:val="99"/>
    <w:rPr>
      <w:rFonts w:ascii="宋体" w:hAnsi="Courier New" w:cs="宋体"/>
      <w:kern w:val="0"/>
      <w:sz w:val="21"/>
      <w:szCs w:val="21"/>
      <w:lang w:eastAsia="en-US"/>
    </w:rPr>
  </w:style>
  <w:style w:type="character" w:customStyle="1" w:styleId="48">
    <w:name w:val="日期 字符"/>
    <w:link w:val="12"/>
    <w:qFormat/>
    <w:locked/>
    <w:uiPriority w:val="99"/>
    <w:rPr>
      <w:rFonts w:ascii="Times New Roman" w:hAnsi="Times New Roman" w:cs="Times New Roman"/>
      <w:sz w:val="20"/>
      <w:szCs w:val="20"/>
      <w:lang w:val="zh-CN" w:eastAsia="zh-CN"/>
    </w:rPr>
  </w:style>
  <w:style w:type="character" w:customStyle="1" w:styleId="49">
    <w:name w:val="正文文本缩进 2 字符"/>
    <w:link w:val="13"/>
    <w:qFormat/>
    <w:locked/>
    <w:uiPriority w:val="99"/>
    <w:rPr>
      <w:rFonts w:ascii="Times New Roman" w:hAnsi="Times New Roman" w:cs="Times New Roman"/>
      <w:kern w:val="0"/>
      <w:sz w:val="24"/>
      <w:szCs w:val="24"/>
      <w:lang w:val="zh-CN" w:eastAsia="zh-CN"/>
    </w:rPr>
  </w:style>
  <w:style w:type="character" w:customStyle="1" w:styleId="50">
    <w:name w:val="批注框文本 字符"/>
    <w:link w:val="14"/>
    <w:qFormat/>
    <w:locked/>
    <w:uiPriority w:val="99"/>
    <w:rPr>
      <w:kern w:val="0"/>
      <w:sz w:val="18"/>
      <w:szCs w:val="18"/>
    </w:rPr>
  </w:style>
  <w:style w:type="character" w:customStyle="1" w:styleId="51">
    <w:name w:val="页脚 字符"/>
    <w:link w:val="15"/>
    <w:qFormat/>
    <w:locked/>
    <w:uiPriority w:val="99"/>
    <w:rPr>
      <w:sz w:val="18"/>
      <w:szCs w:val="18"/>
    </w:rPr>
  </w:style>
  <w:style w:type="character" w:customStyle="1" w:styleId="52">
    <w:name w:val="页眉 字符"/>
    <w:link w:val="16"/>
    <w:qFormat/>
    <w:locked/>
    <w:uiPriority w:val="99"/>
    <w:rPr>
      <w:sz w:val="18"/>
      <w:szCs w:val="18"/>
    </w:rPr>
  </w:style>
  <w:style w:type="character" w:customStyle="1" w:styleId="53">
    <w:name w:val="Subtitle Char"/>
    <w:qFormat/>
    <w:locked/>
    <w:uiPriority w:val="99"/>
    <w:rPr>
      <w:rFonts w:ascii="Cambria" w:hAnsi="Cambria" w:cs="Cambria"/>
      <w:b/>
      <w:bCs/>
      <w:kern w:val="28"/>
      <w:sz w:val="32"/>
      <w:szCs w:val="32"/>
    </w:rPr>
  </w:style>
  <w:style w:type="character" w:customStyle="1" w:styleId="54">
    <w:name w:val="正文文本缩进 3 字符"/>
    <w:link w:val="19"/>
    <w:qFormat/>
    <w:locked/>
    <w:uiPriority w:val="99"/>
    <w:rPr>
      <w:rFonts w:ascii="Times New Roman" w:hAnsi="Times New Roman" w:cs="Times New Roman"/>
      <w:kern w:val="0"/>
      <w:sz w:val="16"/>
      <w:szCs w:val="16"/>
      <w:lang w:val="zh-CN" w:eastAsia="zh-CN"/>
    </w:rPr>
  </w:style>
  <w:style w:type="character" w:customStyle="1" w:styleId="55">
    <w:name w:val="正文文本 2 字符"/>
    <w:link w:val="21"/>
    <w:qFormat/>
    <w:locked/>
    <w:uiPriority w:val="99"/>
    <w:rPr>
      <w:rFonts w:ascii="Times New Roman" w:hAnsi="Times New Roman" w:cs="Times New Roman"/>
      <w:sz w:val="20"/>
      <w:szCs w:val="20"/>
    </w:rPr>
  </w:style>
  <w:style w:type="character" w:customStyle="1" w:styleId="56">
    <w:name w:val="Title Char"/>
    <w:qFormat/>
    <w:locked/>
    <w:uiPriority w:val="99"/>
    <w:rPr>
      <w:rFonts w:ascii="Calibri Light" w:hAnsi="Calibri Light" w:eastAsia="宋体" w:cs="Calibri Light"/>
      <w:b/>
      <w:bCs/>
      <w:sz w:val="32"/>
      <w:szCs w:val="32"/>
    </w:rPr>
  </w:style>
  <w:style w:type="character" w:customStyle="1" w:styleId="57">
    <w:name w:val="批注主题 字符"/>
    <w:link w:val="24"/>
    <w:qFormat/>
    <w:locked/>
    <w:uiPriority w:val="99"/>
    <w:rPr>
      <w:rFonts w:ascii="Times New Roman" w:hAnsi="Times New Roman" w:cs="Times New Roman"/>
      <w:b/>
      <w:bCs/>
      <w:sz w:val="20"/>
      <w:szCs w:val="20"/>
      <w:lang w:val="zh-CN" w:eastAsia="zh-CN"/>
    </w:rPr>
  </w:style>
  <w:style w:type="paragraph" w:customStyle="1" w:styleId="58">
    <w:name w:val="中等深浅网格 1 - 着色 21"/>
    <w:basedOn w:val="1"/>
    <w:qFormat/>
    <w:uiPriority w:val="99"/>
    <w:pPr>
      <w:spacing w:line="360" w:lineRule="auto"/>
      <w:ind w:firstLine="420" w:firstLineChars="200"/>
    </w:pPr>
  </w:style>
  <w:style w:type="paragraph" w:styleId="59">
    <w:name w:val="List Paragraph"/>
    <w:basedOn w:val="1"/>
    <w:qFormat/>
    <w:uiPriority w:val="99"/>
    <w:pPr>
      <w:widowControl/>
      <w:ind w:left="720"/>
      <w:jc w:val="left"/>
    </w:pPr>
    <w:rPr>
      <w:kern w:val="0"/>
      <w:sz w:val="24"/>
      <w:szCs w:val="24"/>
    </w:rPr>
  </w:style>
  <w:style w:type="paragraph" w:customStyle="1" w:styleId="60">
    <w:name w:val="列出段落1"/>
    <w:basedOn w:val="1"/>
    <w:qFormat/>
    <w:uiPriority w:val="99"/>
    <w:pPr>
      <w:ind w:firstLine="420" w:firstLineChars="200"/>
    </w:pPr>
  </w:style>
  <w:style w:type="paragraph" w:customStyle="1" w:styleId="6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样式1"/>
    <w:basedOn w:val="1"/>
    <w:qFormat/>
    <w:uiPriority w:val="99"/>
    <w:rPr>
      <w:rFonts w:ascii="Times New Roman" w:hAnsi="Times New Roman" w:cs="Times New Roman"/>
    </w:rPr>
  </w:style>
  <w:style w:type="character" w:customStyle="1" w:styleId="63">
    <w:name w:val="正文文本 Char1"/>
    <w:semiHidden/>
    <w:qFormat/>
    <w:uiPriority w:val="99"/>
    <w:rPr>
      <w:sz w:val="21"/>
      <w:szCs w:val="21"/>
    </w:rPr>
  </w:style>
  <w:style w:type="character" w:customStyle="1" w:styleId="64">
    <w:name w:val="标题 字符"/>
    <w:link w:val="23"/>
    <w:qFormat/>
    <w:locked/>
    <w:uiPriority w:val="99"/>
    <w:rPr>
      <w:rFonts w:ascii="Cambria" w:hAnsi="Cambria" w:cs="Cambria"/>
      <w:b/>
      <w:bCs/>
      <w:kern w:val="28"/>
      <w:sz w:val="32"/>
      <w:szCs w:val="32"/>
    </w:rPr>
  </w:style>
  <w:style w:type="paragraph" w:customStyle="1" w:styleId="65">
    <w:name w:val="TOC Heading1"/>
    <w:basedOn w:val="2"/>
    <w:next w:val="1"/>
    <w:qFormat/>
    <w:uiPriority w:val="99"/>
    <w:pPr>
      <w:widowControl/>
      <w:spacing w:beforeLines="0" w:line="276" w:lineRule="auto"/>
      <w:outlineLvl w:val="9"/>
    </w:pPr>
    <w:rPr>
      <w:rFonts w:ascii="Cambria" w:hAnsi="Cambria" w:eastAsia="宋体" w:cs="Cambria"/>
      <w:color w:val="365F91"/>
      <w:kern w:val="0"/>
      <w:sz w:val="28"/>
      <w:szCs w:val="28"/>
    </w:rPr>
  </w:style>
  <w:style w:type="paragraph" w:customStyle="1" w:styleId="66">
    <w:name w:val="样式2"/>
    <w:qFormat/>
    <w:uiPriority w:val="99"/>
    <w:pPr>
      <w:adjustRightInd w:val="0"/>
      <w:snapToGrid w:val="0"/>
      <w:spacing w:beforeLines="50" w:line="360" w:lineRule="auto"/>
      <w:jc w:val="center"/>
    </w:pPr>
    <w:rPr>
      <w:rFonts w:ascii="楷体" w:hAnsi="楷体" w:eastAsia="楷体" w:cs="楷体"/>
      <w:b/>
      <w:bCs/>
      <w:kern w:val="2"/>
      <w:sz w:val="44"/>
      <w:szCs w:val="44"/>
      <w:lang w:val="en-US" w:eastAsia="zh-CN" w:bidi="ar-SA"/>
    </w:rPr>
  </w:style>
  <w:style w:type="paragraph" w:customStyle="1" w:styleId="67">
    <w:name w:val="表格"/>
    <w:basedOn w:val="1"/>
    <w:link w:val="68"/>
    <w:qFormat/>
    <w:uiPriority w:val="99"/>
    <w:pPr>
      <w:spacing w:line="360" w:lineRule="auto"/>
      <w:jc w:val="center"/>
    </w:pPr>
    <w:rPr>
      <w:rFonts w:ascii="宋体" w:hAnsi="Times New Roman" w:cs="宋体"/>
      <w:color w:val="000000"/>
      <w:kern w:val="0"/>
      <w:sz w:val="20"/>
      <w:szCs w:val="20"/>
    </w:rPr>
  </w:style>
  <w:style w:type="character" w:customStyle="1" w:styleId="68">
    <w:name w:val="表格 Char"/>
    <w:link w:val="67"/>
    <w:qFormat/>
    <w:locked/>
    <w:uiPriority w:val="99"/>
    <w:rPr>
      <w:rFonts w:ascii="宋体" w:eastAsia="宋体" w:cs="宋体"/>
      <w:color w:val="000000"/>
      <w:kern w:val="0"/>
      <w:sz w:val="20"/>
      <w:szCs w:val="20"/>
    </w:rPr>
  </w:style>
  <w:style w:type="character" w:customStyle="1" w:styleId="69">
    <w:name w:val="副标题 字符"/>
    <w:link w:val="18"/>
    <w:qFormat/>
    <w:locked/>
    <w:uiPriority w:val="99"/>
    <w:rPr>
      <w:rFonts w:ascii="Cambria" w:hAnsi="Cambria" w:cs="Cambria"/>
      <w:b/>
      <w:bCs/>
      <w:kern w:val="28"/>
      <w:sz w:val="20"/>
      <w:szCs w:val="20"/>
      <w:lang w:val="zh-CN" w:eastAsia="zh-CN"/>
    </w:rPr>
  </w:style>
  <w:style w:type="paragraph" w:customStyle="1" w:styleId="70">
    <w:name w:val="表内容"/>
    <w:basedOn w:val="1"/>
    <w:qFormat/>
    <w:uiPriority w:val="99"/>
    <w:pPr>
      <w:autoSpaceDE w:val="0"/>
      <w:autoSpaceDN w:val="0"/>
      <w:adjustRightInd w:val="0"/>
      <w:spacing w:line="310" w:lineRule="atLeast"/>
      <w:jc w:val="center"/>
    </w:pPr>
    <w:rPr>
      <w:rFonts w:ascii="宋体" w:hAnsi="Times New Roman" w:cs="宋体"/>
      <w:kern w:val="0"/>
      <w:sz w:val="18"/>
      <w:szCs w:val="18"/>
    </w:rPr>
  </w:style>
  <w:style w:type="paragraph" w:customStyle="1" w:styleId="71">
    <w:name w:val="人培一级标题"/>
    <w:basedOn w:val="1"/>
    <w:link w:val="72"/>
    <w:qFormat/>
    <w:uiPriority w:val="99"/>
    <w:pPr>
      <w:keepNext/>
      <w:keepLines/>
      <w:spacing w:beforeLines="100" w:line="360" w:lineRule="auto"/>
      <w:jc w:val="left"/>
      <w:outlineLvl w:val="0"/>
    </w:pPr>
    <w:rPr>
      <w:rFonts w:ascii="Arial" w:hAnsi="Arial" w:eastAsia="黑体" w:cs="Arial"/>
      <w:b/>
      <w:bCs/>
      <w:kern w:val="44"/>
      <w:sz w:val="20"/>
      <w:szCs w:val="20"/>
      <w:lang w:val="zh-CN"/>
    </w:rPr>
  </w:style>
  <w:style w:type="character" w:customStyle="1" w:styleId="72">
    <w:name w:val="人培一级标题 Char"/>
    <w:link w:val="71"/>
    <w:qFormat/>
    <w:locked/>
    <w:uiPriority w:val="99"/>
    <w:rPr>
      <w:rFonts w:ascii="Arial" w:hAnsi="Arial" w:eastAsia="黑体" w:cs="Arial"/>
      <w:b/>
      <w:bCs/>
      <w:kern w:val="44"/>
      <w:sz w:val="20"/>
      <w:szCs w:val="20"/>
      <w:lang w:val="zh-CN" w:eastAsia="zh-CN"/>
    </w:rPr>
  </w:style>
  <w:style w:type="paragraph" w:customStyle="1" w:styleId="73">
    <w:name w:val="p0"/>
    <w:basedOn w:val="1"/>
    <w:qFormat/>
    <w:uiPriority w:val="99"/>
    <w:pPr>
      <w:widowControl/>
      <w:snapToGrid w:val="0"/>
      <w:spacing w:before="156" w:line="360" w:lineRule="auto"/>
      <w:ind w:firstLine="420"/>
      <w:jc w:val="left"/>
    </w:pPr>
    <w:rPr>
      <w:rFonts w:ascii="Arial" w:hAnsi="Arial" w:cs="Arial"/>
      <w:kern w:val="0"/>
      <w:sz w:val="24"/>
      <w:szCs w:val="24"/>
    </w:rPr>
  </w:style>
  <w:style w:type="paragraph" w:customStyle="1" w:styleId="74">
    <w:name w:val="3级"/>
    <w:basedOn w:val="4"/>
    <w:qFormat/>
    <w:uiPriority w:val="99"/>
    <w:pPr>
      <w:keepNext w:val="0"/>
      <w:keepLines w:val="0"/>
      <w:widowControl/>
      <w:spacing w:beforeLines="50" w:beforeAutospacing="1" w:after="0" w:afterAutospacing="1" w:line="360" w:lineRule="auto"/>
      <w:jc w:val="left"/>
    </w:pPr>
    <w:rPr>
      <w:rFonts w:ascii="Times New Roman" w:hAnsi="Times New Roman" w:cs="Times New Roman"/>
      <w:kern w:val="0"/>
      <w:sz w:val="28"/>
      <w:szCs w:val="28"/>
      <w:lang w:val="zh-CN"/>
    </w:rPr>
  </w:style>
  <w:style w:type="paragraph" w:customStyle="1" w:styleId="75">
    <w:name w:val="人培方案二级标题"/>
    <w:basedOn w:val="1"/>
    <w:link w:val="76"/>
    <w:qFormat/>
    <w:uiPriority w:val="99"/>
    <w:pPr>
      <w:keepNext/>
      <w:keepLines/>
      <w:spacing w:beforeLines="50" w:line="360" w:lineRule="auto"/>
      <w:jc w:val="left"/>
      <w:outlineLvl w:val="0"/>
    </w:pPr>
    <w:rPr>
      <w:rFonts w:ascii="Arial" w:hAnsi="Arial" w:eastAsia="黑体" w:cs="Arial"/>
      <w:b/>
      <w:bCs/>
      <w:kern w:val="44"/>
      <w:sz w:val="20"/>
      <w:szCs w:val="20"/>
      <w:lang w:val="zh-CN"/>
    </w:rPr>
  </w:style>
  <w:style w:type="character" w:customStyle="1" w:styleId="76">
    <w:name w:val="人培方案二级标题 Char"/>
    <w:link w:val="75"/>
    <w:qFormat/>
    <w:locked/>
    <w:uiPriority w:val="99"/>
    <w:rPr>
      <w:rFonts w:ascii="Arial" w:hAnsi="Arial" w:eastAsia="黑体" w:cs="Arial"/>
      <w:b/>
      <w:bCs/>
      <w:kern w:val="44"/>
      <w:sz w:val="20"/>
      <w:szCs w:val="20"/>
      <w:lang w:val="zh-CN" w:eastAsia="zh-CN"/>
    </w:rPr>
  </w:style>
  <w:style w:type="paragraph" w:customStyle="1" w:styleId="77">
    <w:name w:val="人培一级"/>
    <w:basedOn w:val="71"/>
    <w:link w:val="78"/>
    <w:qFormat/>
    <w:uiPriority w:val="99"/>
  </w:style>
  <w:style w:type="character" w:customStyle="1" w:styleId="78">
    <w:name w:val="人培一级 Char"/>
    <w:link w:val="77"/>
    <w:qFormat/>
    <w:locked/>
    <w:uiPriority w:val="99"/>
    <w:rPr>
      <w:rFonts w:ascii="Arial" w:hAnsi="Arial" w:eastAsia="黑体" w:cs="Arial"/>
      <w:b/>
      <w:bCs/>
      <w:kern w:val="44"/>
      <w:sz w:val="32"/>
      <w:szCs w:val="32"/>
      <w:lang w:val="zh-CN" w:eastAsia="zh-CN"/>
    </w:rPr>
  </w:style>
  <w:style w:type="paragraph" w:customStyle="1" w:styleId="79">
    <w:name w:val="TOC 标题1"/>
    <w:basedOn w:val="2"/>
    <w:next w:val="1"/>
    <w:qFormat/>
    <w:uiPriority w:val="99"/>
    <w:pPr>
      <w:widowControl/>
      <w:spacing w:beforeLines="0" w:line="276" w:lineRule="auto"/>
      <w:outlineLvl w:val="9"/>
    </w:pPr>
    <w:rPr>
      <w:rFonts w:ascii="Cambria" w:hAnsi="Cambria" w:eastAsia="宋体" w:cs="Cambria"/>
      <w:color w:val="365F91"/>
      <w:kern w:val="0"/>
      <w:sz w:val="28"/>
      <w:szCs w:val="28"/>
      <w:lang w:val="zh-CN"/>
    </w:rPr>
  </w:style>
  <w:style w:type="paragraph" w:customStyle="1" w:styleId="80">
    <w:name w:val="样式3"/>
    <w:basedOn w:val="1"/>
    <w:link w:val="81"/>
    <w:qFormat/>
    <w:uiPriority w:val="99"/>
    <w:pPr>
      <w:keepNext/>
      <w:keepLines/>
      <w:spacing w:beforeLines="100" w:line="360" w:lineRule="auto"/>
      <w:jc w:val="left"/>
      <w:outlineLvl w:val="0"/>
    </w:pPr>
    <w:rPr>
      <w:rFonts w:ascii="Arial" w:hAnsi="Arial" w:eastAsia="黑体" w:cs="Arial"/>
      <w:b/>
      <w:bCs/>
      <w:kern w:val="44"/>
      <w:sz w:val="20"/>
      <w:szCs w:val="20"/>
      <w:lang w:val="zh-CN"/>
    </w:rPr>
  </w:style>
  <w:style w:type="character" w:customStyle="1" w:styleId="81">
    <w:name w:val="样式3 Char"/>
    <w:link w:val="80"/>
    <w:qFormat/>
    <w:locked/>
    <w:uiPriority w:val="99"/>
    <w:rPr>
      <w:rFonts w:ascii="Arial" w:hAnsi="Arial" w:eastAsia="黑体" w:cs="Arial"/>
      <w:b/>
      <w:bCs/>
      <w:kern w:val="44"/>
      <w:sz w:val="20"/>
      <w:szCs w:val="20"/>
      <w:lang w:val="zh-CN" w:eastAsia="zh-CN"/>
    </w:rPr>
  </w:style>
  <w:style w:type="paragraph" w:customStyle="1" w:styleId="82">
    <w:name w:val="人培方案3级标题"/>
    <w:basedOn w:val="1"/>
    <w:link w:val="83"/>
    <w:qFormat/>
    <w:uiPriority w:val="99"/>
    <w:pPr>
      <w:widowControl/>
      <w:spacing w:beforeLines="50" w:line="360" w:lineRule="auto"/>
      <w:ind w:firstLine="281" w:firstLineChars="100"/>
      <w:jc w:val="left"/>
      <w:outlineLvl w:val="2"/>
    </w:pPr>
    <w:rPr>
      <w:rFonts w:ascii="Arial" w:hAnsi="Arial" w:cs="Arial"/>
      <w:b/>
      <w:bCs/>
      <w:kern w:val="0"/>
      <w:sz w:val="20"/>
      <w:szCs w:val="20"/>
      <w:lang w:val="zh-CN"/>
    </w:rPr>
  </w:style>
  <w:style w:type="character" w:customStyle="1" w:styleId="83">
    <w:name w:val="人培方案3级标题 Char"/>
    <w:link w:val="82"/>
    <w:qFormat/>
    <w:locked/>
    <w:uiPriority w:val="99"/>
    <w:rPr>
      <w:rFonts w:ascii="Arial" w:hAnsi="Arial" w:cs="Arial"/>
      <w:b/>
      <w:bCs/>
      <w:kern w:val="0"/>
      <w:sz w:val="20"/>
      <w:szCs w:val="20"/>
      <w:lang w:val="zh-CN" w:eastAsia="zh-CN"/>
    </w:rPr>
  </w:style>
  <w:style w:type="paragraph" w:customStyle="1" w:styleId="84">
    <w:name w:val="2级"/>
    <w:basedOn w:val="3"/>
    <w:qFormat/>
    <w:uiPriority w:val="99"/>
    <w:pPr>
      <w:spacing w:beforeLines="50" w:after="0" w:line="360" w:lineRule="auto"/>
    </w:pPr>
    <w:rPr>
      <w:rFonts w:ascii="微软雅黑" w:hAnsi="微软雅黑" w:eastAsia="黑体" w:cs="微软雅黑"/>
      <w:sz w:val="28"/>
      <w:szCs w:val="28"/>
      <w:lang w:val="zh-CN"/>
    </w:rPr>
  </w:style>
  <w:style w:type="paragraph" w:customStyle="1" w:styleId="85">
    <w:name w:val="人培方案（正文）"/>
    <w:basedOn w:val="1"/>
    <w:link w:val="86"/>
    <w:qFormat/>
    <w:uiPriority w:val="99"/>
    <w:pPr>
      <w:spacing w:beforeLines="50" w:line="360" w:lineRule="auto"/>
      <w:ind w:firstLine="480" w:firstLineChars="200"/>
    </w:pPr>
    <w:rPr>
      <w:rFonts w:ascii="Arial" w:hAnsi="Arial" w:cs="Arial"/>
      <w:kern w:val="0"/>
      <w:sz w:val="20"/>
      <w:szCs w:val="20"/>
      <w:lang w:val="zh-CN"/>
    </w:rPr>
  </w:style>
  <w:style w:type="character" w:customStyle="1" w:styleId="86">
    <w:name w:val="人培方案（正文） Char"/>
    <w:link w:val="85"/>
    <w:qFormat/>
    <w:locked/>
    <w:uiPriority w:val="99"/>
    <w:rPr>
      <w:rFonts w:ascii="Arial" w:hAnsi="Arial" w:cs="Arial"/>
      <w:sz w:val="20"/>
      <w:szCs w:val="20"/>
      <w:lang w:val="zh-CN" w:eastAsia="zh-CN"/>
    </w:rPr>
  </w:style>
  <w:style w:type="paragraph" w:customStyle="1" w:styleId="87">
    <w:name w:val="pm图示"/>
    <w:basedOn w:val="1"/>
    <w:next w:val="1"/>
    <w:link w:val="88"/>
    <w:qFormat/>
    <w:uiPriority w:val="99"/>
    <w:pPr>
      <w:widowControl/>
      <w:shd w:val="clear" w:color="auto" w:fill="FFFFFF"/>
      <w:spacing w:line="360" w:lineRule="auto"/>
      <w:ind w:firstLine="200" w:firstLineChars="200"/>
      <w:jc w:val="center"/>
    </w:pPr>
    <w:rPr>
      <w:rFonts w:ascii="宋体" w:hAnsi="Times New Roman" w:cs="宋体"/>
      <w:b/>
      <w:bCs/>
      <w:color w:val="000000"/>
      <w:kern w:val="0"/>
      <w:sz w:val="20"/>
      <w:szCs w:val="20"/>
      <w:lang w:val="zh-CN"/>
    </w:rPr>
  </w:style>
  <w:style w:type="character" w:customStyle="1" w:styleId="88">
    <w:name w:val="pm图示 Char Char"/>
    <w:link w:val="87"/>
    <w:qFormat/>
    <w:locked/>
    <w:uiPriority w:val="99"/>
    <w:rPr>
      <w:rFonts w:ascii="宋体" w:hAnsi="Times New Roman" w:cs="宋体"/>
      <w:b/>
      <w:bCs/>
      <w:color w:val="000000"/>
      <w:sz w:val="20"/>
      <w:szCs w:val="20"/>
      <w:shd w:val="clear" w:color="auto" w:fill="FFFFFF"/>
      <w:lang w:val="zh-CN" w:eastAsia="zh-CN"/>
    </w:rPr>
  </w:style>
  <w:style w:type="paragraph" w:customStyle="1" w:styleId="89">
    <w:name w:val="样式 (西文) 宋体 四号 首行缩进:  2 字符"/>
    <w:basedOn w:val="1"/>
    <w:qFormat/>
    <w:uiPriority w:val="99"/>
    <w:pPr>
      <w:ind w:firstLine="538" w:firstLineChars="192"/>
    </w:pPr>
    <w:rPr>
      <w:rFonts w:ascii="宋体" w:hAnsi="宋体" w:cs="宋体"/>
      <w:sz w:val="28"/>
      <w:szCs w:val="28"/>
    </w:rPr>
  </w:style>
  <w:style w:type="paragraph" w:customStyle="1" w:styleId="90">
    <w:name w:val="中等深浅网格 21"/>
    <w:qFormat/>
    <w:uiPriority w:val="99"/>
    <w:pPr>
      <w:widowControl w:val="0"/>
      <w:autoSpaceDE w:val="0"/>
      <w:autoSpaceDN w:val="0"/>
      <w:adjustRightInd w:val="0"/>
      <w:ind w:firstLine="480" w:firstLineChars="200"/>
    </w:pPr>
    <w:rPr>
      <w:rFonts w:ascii="宋体" w:hAnsi="宋体" w:eastAsia="宋体" w:cs="宋体"/>
      <w:kern w:val="2"/>
      <w:sz w:val="24"/>
      <w:szCs w:val="24"/>
      <w:lang w:val="en-US" w:eastAsia="zh-CN" w:bidi="ar-SA"/>
    </w:rPr>
  </w:style>
  <w:style w:type="paragraph" w:customStyle="1" w:styleId="91">
    <w:name w:val="校正文"/>
    <w:basedOn w:val="1"/>
    <w:qFormat/>
    <w:uiPriority w:val="99"/>
    <w:pPr>
      <w:spacing w:line="500" w:lineRule="atLeast"/>
      <w:ind w:firstLine="200" w:firstLineChars="200"/>
      <w:jc w:val="left"/>
    </w:pPr>
    <w:rPr>
      <w:rFonts w:eastAsia="仿宋_GB2312"/>
      <w:sz w:val="28"/>
      <w:szCs w:val="28"/>
    </w:rPr>
  </w:style>
  <w:style w:type="paragraph" w:customStyle="1" w:styleId="92">
    <w:name w:val="文1"/>
    <w:basedOn w:val="1"/>
    <w:link w:val="93"/>
    <w:qFormat/>
    <w:uiPriority w:val="99"/>
    <w:pPr>
      <w:adjustRightInd w:val="0"/>
      <w:snapToGrid w:val="0"/>
      <w:spacing w:beforeLines="50" w:line="360" w:lineRule="auto"/>
      <w:ind w:firstLine="480" w:firstLineChars="200"/>
      <w:jc w:val="left"/>
    </w:pPr>
    <w:rPr>
      <w:rFonts w:ascii="Arial" w:hAnsi="Arial" w:cs="Arial"/>
      <w:kern w:val="0"/>
      <w:lang w:val="zh-CN"/>
    </w:rPr>
  </w:style>
  <w:style w:type="character" w:customStyle="1" w:styleId="93">
    <w:name w:val="文1 Char"/>
    <w:link w:val="92"/>
    <w:qFormat/>
    <w:locked/>
    <w:uiPriority w:val="99"/>
    <w:rPr>
      <w:rFonts w:ascii="Arial" w:hAnsi="Arial" w:cs="Arial"/>
      <w:sz w:val="21"/>
      <w:szCs w:val="21"/>
      <w:lang w:val="zh-CN" w:eastAsia="zh-CN"/>
    </w:rPr>
  </w:style>
  <w:style w:type="character" w:customStyle="1" w:styleId="94">
    <w:name w:val="Char Char17"/>
    <w:qFormat/>
    <w:locked/>
    <w:uiPriority w:val="99"/>
    <w:rPr>
      <w:b/>
      <w:bCs/>
      <w:kern w:val="44"/>
      <w:sz w:val="44"/>
      <w:szCs w:val="44"/>
    </w:rPr>
  </w:style>
  <w:style w:type="character" w:customStyle="1" w:styleId="95">
    <w:name w:val="Char Char16"/>
    <w:qFormat/>
    <w:locked/>
    <w:uiPriority w:val="99"/>
    <w:rPr>
      <w:rFonts w:ascii="Cambria" w:hAnsi="Cambria" w:eastAsia="宋体" w:cs="Cambria"/>
      <w:b/>
      <w:bCs/>
      <w:kern w:val="2"/>
      <w:sz w:val="32"/>
      <w:szCs w:val="32"/>
    </w:rPr>
  </w:style>
  <w:style w:type="character" w:customStyle="1" w:styleId="96">
    <w:name w:val="apple-converted-space"/>
    <w:qFormat/>
    <w:uiPriority w:val="99"/>
  </w:style>
  <w:style w:type="character" w:customStyle="1" w:styleId="97">
    <w:name w:val="Char Char6"/>
    <w:qFormat/>
    <w:locked/>
    <w:uiPriority w:val="99"/>
    <w:rPr>
      <w:kern w:val="2"/>
      <w:sz w:val="18"/>
      <w:szCs w:val="18"/>
    </w:rPr>
  </w:style>
  <w:style w:type="character" w:customStyle="1" w:styleId="98">
    <w:name w:val="Char Char5"/>
    <w:qFormat/>
    <w:locked/>
    <w:uiPriority w:val="99"/>
    <w:rPr>
      <w:kern w:val="2"/>
      <w:sz w:val="18"/>
      <w:szCs w:val="18"/>
    </w:rPr>
  </w:style>
  <w:style w:type="character" w:customStyle="1" w:styleId="99">
    <w:name w:val="Char Char4"/>
    <w:qFormat/>
    <w:locked/>
    <w:uiPriority w:val="99"/>
    <w:rPr>
      <w:kern w:val="2"/>
      <w:sz w:val="18"/>
      <w:szCs w:val="18"/>
    </w:rPr>
  </w:style>
  <w:style w:type="character" w:customStyle="1" w:styleId="100">
    <w:name w:val="Title Char1"/>
    <w:qFormat/>
    <w:uiPriority w:val="99"/>
    <w:rPr>
      <w:rFonts w:ascii="Cambria" w:hAnsi="Cambria" w:cs="Cambria"/>
      <w:b/>
      <w:bCs/>
      <w:sz w:val="32"/>
      <w:szCs w:val="32"/>
    </w:rPr>
  </w:style>
  <w:style w:type="character" w:customStyle="1" w:styleId="101">
    <w:name w:val="Subtitle Char1"/>
    <w:qFormat/>
    <w:uiPriority w:val="99"/>
    <w:rPr>
      <w:rFonts w:ascii="Cambria" w:hAnsi="Cambria" w:cs="Cambria"/>
      <w:b/>
      <w:bCs/>
      <w:kern w:val="28"/>
      <w:sz w:val="32"/>
      <w:szCs w:val="32"/>
    </w:rPr>
  </w:style>
  <w:style w:type="character" w:customStyle="1" w:styleId="102">
    <w:name w:val="font71"/>
    <w:qFormat/>
    <w:uiPriority w:val="99"/>
    <w:rPr>
      <w:rFonts w:ascii="宋体" w:hAnsi="宋体" w:eastAsia="宋体" w:cs="宋体"/>
      <w:color w:val="000000"/>
      <w:sz w:val="21"/>
      <w:szCs w:val="21"/>
      <w:u w:val="none"/>
    </w:rPr>
  </w:style>
  <w:style w:type="paragraph" w:customStyle="1" w:styleId="103">
    <w:name w:val="List Paragraph1"/>
    <w:basedOn w:val="1"/>
    <w:qFormat/>
    <w:uiPriority w:val="99"/>
    <w:pPr>
      <w:spacing w:beforeLines="50" w:line="360" w:lineRule="auto"/>
      <w:ind w:firstLine="420" w:firstLineChars="200"/>
    </w:pPr>
    <w:rPr>
      <w:rFonts w:ascii="Arial" w:hAnsi="Arial" w:cs="Arial"/>
      <w:sz w:val="24"/>
      <w:szCs w:val="24"/>
    </w:rPr>
  </w:style>
  <w:style w:type="paragraph" w:customStyle="1" w:styleId="104">
    <w:name w:val="标准（正文）"/>
    <w:basedOn w:val="1"/>
    <w:qFormat/>
    <w:uiPriority w:val="99"/>
    <w:pPr>
      <w:spacing w:beforeLines="50" w:line="560" w:lineRule="exact"/>
      <w:ind w:firstLine="560" w:firstLineChars="200"/>
    </w:pPr>
    <w:rPr>
      <w:rFonts w:ascii="仿宋_GB2312" w:hAnsi="Times New Roman" w:eastAsia="仿宋_GB2312" w:cs="仿宋_GB2312"/>
      <w:sz w:val="28"/>
      <w:szCs w:val="28"/>
    </w:rPr>
  </w:style>
  <w:style w:type="paragraph" w:customStyle="1" w:styleId="105">
    <w:name w:val="标准三级"/>
    <w:basedOn w:val="1"/>
    <w:qFormat/>
    <w:uiPriority w:val="99"/>
    <w:pPr>
      <w:spacing w:beforeLines="50" w:line="560" w:lineRule="exact"/>
      <w:ind w:firstLine="562" w:firstLineChars="200"/>
    </w:pPr>
    <w:rPr>
      <w:rFonts w:ascii="仿宋_GB2312" w:hAnsi="Times New Roman" w:eastAsia="仿宋_GB2312" w:cs="仿宋_GB2312"/>
      <w:b/>
      <w:bCs/>
      <w:color w:val="000000"/>
      <w:sz w:val="28"/>
      <w:szCs w:val="28"/>
    </w:rPr>
  </w:style>
  <w:style w:type="character" w:customStyle="1" w:styleId="106">
    <w:name w:val="Char Char22"/>
    <w:qFormat/>
    <w:locked/>
    <w:uiPriority w:val="99"/>
    <w:rPr>
      <w:rFonts w:ascii="黑体" w:hAnsi="黑体" w:eastAsia="黑体" w:cs="黑体"/>
      <w:b/>
      <w:bCs/>
      <w:kern w:val="44"/>
      <w:sz w:val="30"/>
      <w:szCs w:val="30"/>
      <w:lang w:val="en-US" w:eastAsia="zh-CN"/>
    </w:rPr>
  </w:style>
  <w:style w:type="character" w:customStyle="1" w:styleId="107">
    <w:name w:val="Char Char21"/>
    <w:qFormat/>
    <w:locked/>
    <w:uiPriority w:val="99"/>
    <w:rPr>
      <w:rFonts w:ascii="Cambria" w:hAnsi="Cambria" w:eastAsia="宋体" w:cs="Cambria"/>
      <w:b/>
      <w:bCs/>
      <w:kern w:val="2"/>
      <w:sz w:val="32"/>
      <w:szCs w:val="32"/>
      <w:lang w:val="en-US" w:eastAsia="zh-CN"/>
    </w:rPr>
  </w:style>
  <w:style w:type="character" w:customStyle="1" w:styleId="108">
    <w:name w:val="Char Char20"/>
    <w:qFormat/>
    <w:locked/>
    <w:uiPriority w:val="99"/>
    <w:rPr>
      <w:rFonts w:ascii="Calibri" w:hAnsi="Calibri" w:eastAsia="宋体" w:cs="Calibri"/>
      <w:b/>
      <w:bCs/>
      <w:kern w:val="2"/>
      <w:sz w:val="32"/>
      <w:szCs w:val="32"/>
      <w:lang w:val="en-US" w:eastAsia="zh-CN"/>
    </w:rPr>
  </w:style>
  <w:style w:type="character" w:customStyle="1" w:styleId="109">
    <w:name w:val="Char Char19"/>
    <w:qFormat/>
    <w:locked/>
    <w:uiPriority w:val="99"/>
    <w:rPr>
      <w:rFonts w:ascii="Calibri" w:hAnsi="Calibri" w:eastAsia="宋体" w:cs="Calibri"/>
      <w:kern w:val="2"/>
      <w:sz w:val="18"/>
      <w:szCs w:val="18"/>
      <w:lang w:val="en-US" w:eastAsia="zh-CN"/>
    </w:rPr>
  </w:style>
  <w:style w:type="character" w:customStyle="1" w:styleId="110">
    <w:name w:val="Char Char18"/>
    <w:qFormat/>
    <w:locked/>
    <w:uiPriority w:val="99"/>
    <w:rPr>
      <w:rFonts w:ascii="Calibri" w:hAnsi="Calibri" w:eastAsia="宋体" w:cs="Calibri"/>
      <w:kern w:val="2"/>
      <w:sz w:val="18"/>
      <w:szCs w:val="18"/>
      <w:lang w:val="en-US" w:eastAsia="zh-CN"/>
    </w:rPr>
  </w:style>
  <w:style w:type="character" w:customStyle="1" w:styleId="111">
    <w:name w:val="Char Char15"/>
    <w:qFormat/>
    <w:locked/>
    <w:uiPriority w:val="99"/>
    <w:rPr>
      <w:rFonts w:ascii="Calibri" w:hAnsi="Calibri" w:eastAsia="宋体" w:cs="Calibri"/>
      <w:kern w:val="2"/>
      <w:sz w:val="18"/>
      <w:szCs w:val="18"/>
      <w:lang w:val="en-US" w:eastAsia="zh-CN"/>
    </w:rPr>
  </w:style>
  <w:style w:type="paragraph" w:customStyle="1" w:styleId="11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3">
    <w:name w:val="Table Paragraph"/>
    <w:basedOn w:val="1"/>
    <w:qFormat/>
    <w:uiPriority w:val="1"/>
    <w:rPr>
      <w:rFonts w:ascii="宋体" w:hAnsi="宋体" w:eastAsia="宋体" w:cs="宋体"/>
      <w:lang w:val="zh-CN" w:eastAsia="zh-CN" w:bidi="zh-CN"/>
    </w:rPr>
  </w:style>
  <w:style w:type="character" w:customStyle="1" w:styleId="114">
    <w:name w:val="control"/>
    <w:basedOn w:val="27"/>
    <w:qFormat/>
    <w:uiPriority w:val="0"/>
    <w:rPr>
      <w:vanish/>
    </w:rPr>
  </w:style>
  <w:style w:type="character" w:customStyle="1" w:styleId="115">
    <w:name w:val="news_meta"/>
    <w:basedOn w:val="27"/>
    <w:qFormat/>
    <w:uiPriority w:val="0"/>
    <w:rPr>
      <w:color w:val="9C9C9C"/>
      <w:sz w:val="21"/>
      <w:szCs w:val="21"/>
    </w:rPr>
  </w:style>
  <w:style w:type="character" w:customStyle="1" w:styleId="116">
    <w:name w:val="news_meta1"/>
    <w:basedOn w:val="27"/>
    <w:qFormat/>
    <w:uiPriority w:val="0"/>
    <w:rPr>
      <w:color w:val="00568D"/>
      <w:sz w:val="24"/>
      <w:szCs w:val="24"/>
    </w:rPr>
  </w:style>
  <w:style w:type="character" w:customStyle="1" w:styleId="117">
    <w:name w:val="pubdate-month"/>
    <w:basedOn w:val="27"/>
    <w:qFormat/>
    <w:uiPriority w:val="0"/>
    <w:rPr>
      <w:color w:val="FFFFFF"/>
      <w:sz w:val="19"/>
      <w:szCs w:val="19"/>
      <w:shd w:val="clear" w:fill="CC0000"/>
    </w:rPr>
  </w:style>
  <w:style w:type="character" w:customStyle="1" w:styleId="118">
    <w:name w:val="item-name"/>
    <w:basedOn w:val="27"/>
    <w:qFormat/>
    <w:uiPriority w:val="0"/>
  </w:style>
  <w:style w:type="character" w:customStyle="1" w:styleId="119">
    <w:name w:val="item-name1"/>
    <w:basedOn w:val="27"/>
    <w:qFormat/>
    <w:uiPriority w:val="0"/>
  </w:style>
  <w:style w:type="character" w:customStyle="1" w:styleId="120">
    <w:name w:val="pubdate-day"/>
    <w:basedOn w:val="27"/>
    <w:qFormat/>
    <w:uiPriority w:val="0"/>
    <w:rPr>
      <w:shd w:val="clear" w:fill="F2F2F2"/>
    </w:rPr>
  </w:style>
  <w:style w:type="character" w:customStyle="1" w:styleId="121">
    <w:name w:val="t"/>
    <w:basedOn w:val="27"/>
    <w:qFormat/>
    <w:uiPriority w:val="0"/>
    <w:rPr>
      <w:color w:val="C1C1C1"/>
      <w:sz w:val="28"/>
      <w:szCs w:val="28"/>
    </w:rPr>
  </w:style>
  <w:style w:type="character" w:customStyle="1" w:styleId="122">
    <w:name w:val="column-name18"/>
    <w:basedOn w:val="27"/>
    <w:qFormat/>
    <w:uiPriority w:val="0"/>
    <w:rPr>
      <w:color w:val="1A7FC0"/>
    </w:rPr>
  </w:style>
  <w:style w:type="character" w:customStyle="1" w:styleId="123">
    <w:name w:val="news_title10"/>
    <w:basedOn w:val="27"/>
    <w:qFormat/>
    <w:uiPriority w:val="0"/>
  </w:style>
  <w:style w:type="character" w:customStyle="1" w:styleId="124">
    <w:name w:val="news_title11"/>
    <w:basedOn w:val="27"/>
    <w:qFormat/>
    <w:uiPriority w:val="0"/>
  </w:style>
  <w:style w:type="paragraph" w:customStyle="1" w:styleId="125">
    <w:name w:val="WPSOffice手动目录 1"/>
    <w:qFormat/>
    <w:uiPriority w:val="0"/>
    <w:pPr>
      <w:ind w:leftChars="0"/>
    </w:pPr>
    <w:rPr>
      <w:rFonts w:ascii="Times New Roman" w:hAnsi="Times New Roman" w:eastAsia="宋体" w:cs="Times New Roman"/>
      <w:sz w:val="20"/>
      <w:szCs w:val="20"/>
    </w:rPr>
  </w:style>
  <w:style w:type="paragraph" w:customStyle="1" w:styleId="1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2143</Words>
  <Characters>12219</Characters>
  <Lines>101</Lines>
  <Paragraphs>28</Paragraphs>
  <TotalTime>8</TotalTime>
  <ScaleCrop>false</ScaleCrop>
  <LinksUpToDate>false</LinksUpToDate>
  <CharactersWithSpaces>14334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2019-09-03T01:51:00Z</dcterms:created>
  <dc:creator>lenovo</dc:creator>
  <cp:lastModifiedBy>Administrator</cp:lastModifiedBy>
  <cp:lastPrinted>2021-10-08T08:48:00Z</cp:lastPrinted>
  <dcterms:modified xsi:type="dcterms:W3CDTF">2022-01-04T12:40:19Z</dcterms:modified>
  <dc:title>福建省教育厅关于做好职业院校专业人才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28FD995313364FC0B8A2A9E655556170</vt:lpwstr>
  </property>
</Properties>
</file>